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FC" w:rsidRDefault="002D2762">
      <w:pPr>
        <w:rPr>
          <w:lang w:val="es-ES"/>
        </w:rPr>
      </w:pPr>
      <w:r>
        <w:rPr>
          <w:lang w:val="es-ES"/>
        </w:rPr>
        <w:t>¿Quién se queda con la plata de los peajes en Colombia?</w:t>
      </w:r>
    </w:p>
    <w:p w:rsidR="002D2762" w:rsidRDefault="002D2762">
      <w:pPr>
        <w:rPr>
          <w:lang w:val="es-ES"/>
        </w:rPr>
      </w:pPr>
      <w:r>
        <w:rPr>
          <w:lang w:val="es-ES"/>
        </w:rPr>
        <w:t>En 106 casetas</w:t>
      </w:r>
      <w:r w:rsidR="009661F5">
        <w:rPr>
          <w:lang w:val="es-ES"/>
        </w:rPr>
        <w:t xml:space="preserve">, </w:t>
      </w:r>
      <w:proofErr w:type="gramStart"/>
      <w:r w:rsidR="009661F5">
        <w:rPr>
          <w:lang w:val="es-ES"/>
        </w:rPr>
        <w:t>empresas</w:t>
      </w:r>
      <w:r>
        <w:rPr>
          <w:lang w:val="es-ES"/>
        </w:rPr>
        <w:t xml:space="preserve"> privados</w:t>
      </w:r>
      <w:proofErr w:type="gramEnd"/>
      <w:r>
        <w:rPr>
          <w:lang w:val="es-ES"/>
        </w:rPr>
        <w:t xml:space="preserve"> recaudan </w:t>
      </w:r>
      <w:r w:rsidR="009661F5">
        <w:rPr>
          <w:lang w:val="es-ES"/>
        </w:rPr>
        <w:t xml:space="preserve">costosos peajes. </w:t>
      </w:r>
      <w:r>
        <w:rPr>
          <w:lang w:val="es-ES"/>
        </w:rPr>
        <w:t xml:space="preserve">Lo más caro es viajar entre </w:t>
      </w:r>
      <w:proofErr w:type="spellStart"/>
      <w:r>
        <w:rPr>
          <w:lang w:val="es-ES"/>
        </w:rPr>
        <w:t>Medellin</w:t>
      </w:r>
      <w:proofErr w:type="spellEnd"/>
      <w:r>
        <w:rPr>
          <w:lang w:val="es-ES"/>
        </w:rPr>
        <w:t xml:space="preserve"> y Cartagena</w:t>
      </w:r>
      <w:r w:rsidR="009661F5">
        <w:rPr>
          <w:lang w:val="es-ES"/>
        </w:rPr>
        <w:t>; l</w:t>
      </w:r>
      <w:bookmarkStart w:id="0" w:name="_GoBack"/>
      <w:bookmarkEnd w:id="0"/>
      <w:r>
        <w:rPr>
          <w:lang w:val="es-ES"/>
        </w:rPr>
        <w:t xml:space="preserve">as Autopistas del café y la malla vial del Valle </w:t>
      </w:r>
    </w:p>
    <w:p w:rsidR="002D2762" w:rsidRDefault="002D2762">
      <w:pPr>
        <w:rPr>
          <w:lang w:val="es-ES"/>
        </w:rPr>
      </w:pPr>
      <w:r>
        <w:rPr>
          <w:lang w:val="es-ES"/>
        </w:rPr>
        <w:t xml:space="preserve"> </w:t>
      </w:r>
    </w:p>
    <w:p w:rsidR="002D2762" w:rsidRDefault="002D2762">
      <w:pPr>
        <w:rPr>
          <w:lang w:val="es-ES"/>
        </w:rPr>
      </w:pPr>
      <w:r>
        <w:rPr>
          <w:lang w:val="es-ES"/>
        </w:rPr>
        <w:t>Por: Las2orillas</w:t>
      </w:r>
    </w:p>
    <w:p w:rsidR="00294391" w:rsidRDefault="00294391">
      <w:pPr>
        <w:rPr>
          <w:lang w:val="es-ES"/>
        </w:rPr>
      </w:pPr>
    </w:p>
    <w:p w:rsidR="001D4F7D" w:rsidRDefault="00294391">
      <w:pPr>
        <w:rPr>
          <w:lang w:val="es-ES"/>
        </w:rPr>
      </w:pPr>
      <w:r>
        <w:rPr>
          <w:lang w:val="es-ES"/>
        </w:rPr>
        <w:t xml:space="preserve">La Concesiones viales es el mecanismo </w:t>
      </w:r>
      <w:r w:rsidR="009805FE">
        <w:rPr>
          <w:lang w:val="es-ES"/>
        </w:rPr>
        <w:t>al</w:t>
      </w:r>
      <w:r>
        <w:rPr>
          <w:lang w:val="es-ES"/>
        </w:rPr>
        <w:t xml:space="preserve"> cual </w:t>
      </w:r>
      <w:r w:rsidR="001D4F7D">
        <w:rPr>
          <w:lang w:val="es-ES"/>
        </w:rPr>
        <w:t xml:space="preserve">el gobierno </w:t>
      </w:r>
      <w:r w:rsidR="00B6640D">
        <w:rPr>
          <w:lang w:val="es-ES"/>
        </w:rPr>
        <w:t xml:space="preserve">desde </w:t>
      </w:r>
      <w:r>
        <w:rPr>
          <w:lang w:val="es-ES"/>
        </w:rPr>
        <w:t>hace 26 años</w:t>
      </w:r>
      <w:r w:rsidR="007716F9">
        <w:rPr>
          <w:lang w:val="es-ES"/>
        </w:rPr>
        <w:t>,</w:t>
      </w:r>
      <w:r>
        <w:rPr>
          <w:lang w:val="es-ES"/>
        </w:rPr>
        <w:t xml:space="preserve"> </w:t>
      </w:r>
      <w:r w:rsidR="00B6640D">
        <w:rPr>
          <w:lang w:val="es-ES"/>
        </w:rPr>
        <w:t>durante</w:t>
      </w:r>
      <w:r w:rsidR="00D532CA">
        <w:rPr>
          <w:lang w:val="es-ES"/>
        </w:rPr>
        <w:t xml:space="preserve"> </w:t>
      </w:r>
      <w:r>
        <w:rPr>
          <w:lang w:val="es-ES"/>
        </w:rPr>
        <w:t>la presidencia de Cesar Gaviria</w:t>
      </w:r>
      <w:r w:rsidR="001D4F7D">
        <w:rPr>
          <w:lang w:val="es-ES"/>
        </w:rPr>
        <w:t>,</w:t>
      </w:r>
      <w:r w:rsidR="00D532CA">
        <w:rPr>
          <w:lang w:val="es-ES"/>
        </w:rPr>
        <w:t xml:space="preserve"> </w:t>
      </w:r>
      <w:r w:rsidR="001D4F7D">
        <w:rPr>
          <w:lang w:val="es-ES"/>
        </w:rPr>
        <w:t xml:space="preserve">ha </w:t>
      </w:r>
      <w:r w:rsidR="007716F9">
        <w:rPr>
          <w:lang w:val="es-ES"/>
        </w:rPr>
        <w:t xml:space="preserve">venido </w:t>
      </w:r>
      <w:r w:rsidR="001D4F7D">
        <w:rPr>
          <w:lang w:val="es-ES"/>
        </w:rPr>
        <w:t>recurri</w:t>
      </w:r>
      <w:r w:rsidR="007716F9">
        <w:rPr>
          <w:lang w:val="es-ES"/>
        </w:rPr>
        <w:t>endo</w:t>
      </w:r>
      <w:r w:rsidR="001D4F7D">
        <w:rPr>
          <w:lang w:val="es-ES"/>
        </w:rPr>
        <w:t xml:space="preserve"> </w:t>
      </w:r>
      <w:r w:rsidR="00B6640D">
        <w:rPr>
          <w:lang w:val="es-ES"/>
        </w:rPr>
        <w:t xml:space="preserve">con el fin de </w:t>
      </w:r>
      <w:r w:rsidR="00D532CA">
        <w:rPr>
          <w:lang w:val="es-ES"/>
        </w:rPr>
        <w:t>apoyarse en</w:t>
      </w:r>
      <w:r>
        <w:rPr>
          <w:lang w:val="es-ES"/>
        </w:rPr>
        <w:t xml:space="preserve"> empresarios privados </w:t>
      </w:r>
      <w:r w:rsidR="00B6640D">
        <w:rPr>
          <w:lang w:val="es-ES"/>
        </w:rPr>
        <w:t xml:space="preserve">en el desarrollo vial del país. Se delega </w:t>
      </w:r>
      <w:r w:rsidR="001D4F7D">
        <w:rPr>
          <w:lang w:val="es-ES"/>
        </w:rPr>
        <w:t>la</w:t>
      </w:r>
      <w:r>
        <w:rPr>
          <w:lang w:val="es-ES"/>
        </w:rPr>
        <w:t xml:space="preserve"> constru</w:t>
      </w:r>
      <w:r w:rsidR="001D4F7D">
        <w:rPr>
          <w:lang w:val="es-ES"/>
        </w:rPr>
        <w:t>cción</w:t>
      </w:r>
      <w:r>
        <w:rPr>
          <w:lang w:val="es-ES"/>
        </w:rPr>
        <w:t>, rehabilita</w:t>
      </w:r>
      <w:r w:rsidR="001D4F7D">
        <w:rPr>
          <w:lang w:val="es-ES"/>
        </w:rPr>
        <w:t>ción</w:t>
      </w:r>
      <w:r>
        <w:rPr>
          <w:lang w:val="es-ES"/>
        </w:rPr>
        <w:t>, manten</w:t>
      </w:r>
      <w:r w:rsidR="001D4F7D">
        <w:rPr>
          <w:lang w:val="es-ES"/>
        </w:rPr>
        <w:t>imiento</w:t>
      </w:r>
      <w:r>
        <w:rPr>
          <w:lang w:val="es-ES"/>
        </w:rPr>
        <w:t xml:space="preserve"> y opera</w:t>
      </w:r>
      <w:r w:rsidR="001D4F7D">
        <w:rPr>
          <w:lang w:val="es-ES"/>
        </w:rPr>
        <w:t>ción de</w:t>
      </w:r>
      <w:r w:rsidR="00D532CA">
        <w:rPr>
          <w:lang w:val="es-ES"/>
        </w:rPr>
        <w:t xml:space="preserve"> varias de las</w:t>
      </w:r>
      <w:r>
        <w:rPr>
          <w:lang w:val="es-ES"/>
        </w:rPr>
        <w:t xml:space="preserve"> carreteras del país</w:t>
      </w:r>
      <w:r w:rsidR="00B6640D">
        <w:rPr>
          <w:lang w:val="es-ES"/>
        </w:rPr>
        <w:t>, a cambio de unos compromisos financieros con el concesionario a largo plazo</w:t>
      </w:r>
      <w:r w:rsidR="009F5641">
        <w:rPr>
          <w:lang w:val="es-ES"/>
        </w:rPr>
        <w:t xml:space="preserve">. La </w:t>
      </w:r>
      <w:r>
        <w:rPr>
          <w:lang w:val="es-ES"/>
        </w:rPr>
        <w:t xml:space="preserve">Agencia Nacional de Infraestructura – ANI, </w:t>
      </w:r>
      <w:r w:rsidR="001D4F7D">
        <w:rPr>
          <w:lang w:val="es-ES"/>
        </w:rPr>
        <w:t xml:space="preserve">es la entidad encargada de entregar las concesiones y en la actualidad </w:t>
      </w:r>
      <w:r w:rsidR="009F5641">
        <w:rPr>
          <w:lang w:val="es-ES"/>
        </w:rPr>
        <w:t>controla 37 proyectos viales dentro de las cuatro generaciones</w:t>
      </w:r>
      <w:r w:rsidR="001D4F7D">
        <w:rPr>
          <w:lang w:val="es-ES"/>
        </w:rPr>
        <w:t xml:space="preserve"> de concesiones que ha otorgado el gobierno.</w:t>
      </w:r>
    </w:p>
    <w:p w:rsidR="001D4F7D" w:rsidRDefault="001D4F7D">
      <w:pPr>
        <w:rPr>
          <w:lang w:val="es-ES"/>
        </w:rPr>
      </w:pPr>
    </w:p>
    <w:p w:rsidR="009F5641" w:rsidRDefault="001D4F7D">
      <w:pPr>
        <w:rPr>
          <w:lang w:val="es-ES"/>
        </w:rPr>
      </w:pPr>
      <w:r>
        <w:rPr>
          <w:lang w:val="es-ES"/>
        </w:rPr>
        <w:t>El principal mecanismo de financiación de estos proyectos, son los ingresos generados por los peajes en las vías. Las c</w:t>
      </w:r>
      <w:r w:rsidR="009F5641">
        <w:rPr>
          <w:lang w:val="es-ES"/>
        </w:rPr>
        <w:t xml:space="preserve">oncesiones </w:t>
      </w:r>
      <w:r>
        <w:rPr>
          <w:lang w:val="es-ES"/>
        </w:rPr>
        <w:t xml:space="preserve">actuales operan </w:t>
      </w:r>
      <w:r w:rsidR="009F5641">
        <w:rPr>
          <w:lang w:val="es-ES"/>
        </w:rPr>
        <w:t xml:space="preserve">106 casetas de cobro de peajes, </w:t>
      </w:r>
      <w:r>
        <w:rPr>
          <w:lang w:val="es-ES"/>
        </w:rPr>
        <w:t xml:space="preserve">cuyos recursos controla la ANI.  </w:t>
      </w:r>
      <w:proofErr w:type="spellStart"/>
      <w:r w:rsidR="009F5641">
        <w:rPr>
          <w:lang w:val="es-ES"/>
        </w:rPr>
        <w:t>Odinsa</w:t>
      </w:r>
      <w:proofErr w:type="spellEnd"/>
      <w:r w:rsidR="009F5641">
        <w:rPr>
          <w:lang w:val="es-ES"/>
        </w:rPr>
        <w:t xml:space="preserve"> del grupo Argos, es la empresa líder en la operación de </w:t>
      </w:r>
      <w:r>
        <w:rPr>
          <w:lang w:val="es-ES"/>
        </w:rPr>
        <w:t>est</w:t>
      </w:r>
      <w:r w:rsidR="009F5641">
        <w:rPr>
          <w:lang w:val="es-ES"/>
        </w:rPr>
        <w:t xml:space="preserve">os peajes, tiene a su cargo </w:t>
      </w:r>
      <w:r w:rsidR="007716F9">
        <w:rPr>
          <w:lang w:val="es-ES"/>
        </w:rPr>
        <w:t>el cobro</w:t>
      </w:r>
      <w:r w:rsidR="009F5641">
        <w:rPr>
          <w:lang w:val="es-ES"/>
        </w:rPr>
        <w:t xml:space="preserve"> de 25 puntos autorizados por el gobierno</w:t>
      </w:r>
      <w:r>
        <w:rPr>
          <w:lang w:val="es-ES"/>
        </w:rPr>
        <w:t>.</w:t>
      </w:r>
    </w:p>
    <w:p w:rsidR="00280F4C" w:rsidRDefault="00280F4C">
      <w:pPr>
        <w:rPr>
          <w:lang w:val="es-ES"/>
        </w:rPr>
      </w:pPr>
    </w:p>
    <w:p w:rsidR="009F5641" w:rsidRDefault="00280F4C">
      <w:pPr>
        <w:rPr>
          <w:lang w:val="es-ES"/>
        </w:rPr>
      </w:pPr>
      <w:r>
        <w:rPr>
          <w:lang w:val="es-ES"/>
        </w:rPr>
        <w:t xml:space="preserve">La Concesión mas costosa por recorrer es Concesión Ruta al Mar, entre </w:t>
      </w:r>
      <w:r w:rsidR="007716F9">
        <w:rPr>
          <w:lang w:val="es-ES"/>
        </w:rPr>
        <w:t xml:space="preserve">los departamentos de </w:t>
      </w:r>
      <w:r>
        <w:rPr>
          <w:lang w:val="es-ES"/>
        </w:rPr>
        <w:t xml:space="preserve">Antioquia y </w:t>
      </w:r>
      <w:proofErr w:type="gramStart"/>
      <w:r w:rsidR="007716F9">
        <w:rPr>
          <w:lang w:val="es-ES"/>
        </w:rPr>
        <w:t>Bolívar</w:t>
      </w:r>
      <w:r w:rsidR="002D2762">
        <w:rPr>
          <w:lang w:val="es-ES"/>
        </w:rPr>
        <w:t xml:space="preserve"> </w:t>
      </w:r>
      <w:r>
        <w:rPr>
          <w:lang w:val="es-ES"/>
        </w:rPr>
        <w:t xml:space="preserve"> que</w:t>
      </w:r>
      <w:proofErr w:type="gramEnd"/>
      <w:r>
        <w:rPr>
          <w:lang w:val="es-ES"/>
        </w:rPr>
        <w:t xml:space="preserve"> cuenta con siete peajes distribuidos en los departamentos de Córdoba y Sucre</w:t>
      </w:r>
      <w:r w:rsidR="007716F9">
        <w:rPr>
          <w:lang w:val="es-ES"/>
        </w:rPr>
        <w:t>,</w:t>
      </w:r>
      <w:r>
        <w:rPr>
          <w:lang w:val="es-ES"/>
        </w:rPr>
        <w:t xml:space="preserve"> que valen </w:t>
      </w:r>
      <w:r w:rsidR="007716F9">
        <w:rPr>
          <w:lang w:val="es-ES"/>
        </w:rPr>
        <w:t xml:space="preserve">en total </w:t>
      </w:r>
      <w:r>
        <w:rPr>
          <w:lang w:val="es-ES"/>
        </w:rPr>
        <w:t>$ 84.800</w:t>
      </w:r>
      <w:r w:rsidR="00612AFC">
        <w:rPr>
          <w:lang w:val="es-ES"/>
        </w:rPr>
        <w:t xml:space="preserve">. </w:t>
      </w:r>
      <w:r w:rsidR="009F5641">
        <w:rPr>
          <w:lang w:val="es-ES"/>
        </w:rPr>
        <w:t xml:space="preserve">El mayor accionista de esta concesión es Construcciones el </w:t>
      </w:r>
      <w:r w:rsidR="007716F9">
        <w:rPr>
          <w:lang w:val="es-ES"/>
        </w:rPr>
        <w:t>Cóndor</w:t>
      </w:r>
      <w:r w:rsidR="009F5641">
        <w:rPr>
          <w:lang w:val="es-ES"/>
        </w:rPr>
        <w:t xml:space="preserve"> que preside la hija de</w:t>
      </w:r>
      <w:r w:rsidR="007716F9">
        <w:rPr>
          <w:lang w:val="es-ES"/>
        </w:rPr>
        <w:t xml:space="preserve"> su</w:t>
      </w:r>
      <w:r w:rsidR="009F5641">
        <w:rPr>
          <w:lang w:val="es-ES"/>
        </w:rPr>
        <w:t xml:space="preserve"> fundador, Luz María Correa Vargas.</w:t>
      </w:r>
    </w:p>
    <w:p w:rsidR="009F5641" w:rsidRDefault="009F5641">
      <w:pPr>
        <w:rPr>
          <w:lang w:val="es-ES"/>
        </w:rPr>
      </w:pPr>
    </w:p>
    <w:p w:rsidR="00C61777" w:rsidRDefault="00612AFC" w:rsidP="00C61777">
      <w:pPr>
        <w:rPr>
          <w:lang w:val="es-ES"/>
        </w:rPr>
      </w:pPr>
      <w:r>
        <w:rPr>
          <w:lang w:val="es-ES"/>
        </w:rPr>
        <w:t xml:space="preserve">Le sigue las Autopistas del Café, </w:t>
      </w:r>
      <w:r w:rsidR="007716F9">
        <w:rPr>
          <w:lang w:val="es-ES"/>
        </w:rPr>
        <w:t xml:space="preserve">que conecta las tres capitales del eje </w:t>
      </w:r>
      <w:proofErr w:type="gramStart"/>
      <w:r w:rsidR="007716F9">
        <w:rPr>
          <w:lang w:val="es-ES"/>
        </w:rPr>
        <w:t>cafetero,</w:t>
      </w:r>
      <w:r>
        <w:rPr>
          <w:lang w:val="es-ES"/>
        </w:rPr>
        <w:t xml:space="preserve">  Manizales</w:t>
      </w:r>
      <w:proofErr w:type="gramEnd"/>
      <w:r>
        <w:rPr>
          <w:lang w:val="es-ES"/>
        </w:rPr>
        <w:t>-Pereira-Armenia</w:t>
      </w:r>
      <w:r w:rsidR="009F5641">
        <w:rPr>
          <w:lang w:val="es-ES"/>
        </w:rPr>
        <w:t>, recorrido que</w:t>
      </w:r>
      <w:r>
        <w:rPr>
          <w:lang w:val="es-ES"/>
        </w:rPr>
        <w:t xml:space="preserve"> cuenta con </w:t>
      </w:r>
      <w:r w:rsidR="007716F9">
        <w:rPr>
          <w:lang w:val="es-ES"/>
        </w:rPr>
        <w:t>siete</w:t>
      </w:r>
      <w:r>
        <w:rPr>
          <w:lang w:val="es-ES"/>
        </w:rPr>
        <w:t xml:space="preserve"> peajes y </w:t>
      </w:r>
      <w:r w:rsidR="009F5641">
        <w:rPr>
          <w:lang w:val="es-ES"/>
        </w:rPr>
        <w:t xml:space="preserve">cuyo costo total al recorrerla es de </w:t>
      </w:r>
      <w:r>
        <w:rPr>
          <w:lang w:val="es-ES"/>
        </w:rPr>
        <w:t xml:space="preserve">$ 76.200. </w:t>
      </w:r>
      <w:r w:rsidR="00C61777">
        <w:rPr>
          <w:lang w:val="es-ES"/>
        </w:rPr>
        <w:t xml:space="preserve">El socio mayoritario </w:t>
      </w:r>
      <w:r w:rsidR="007716F9">
        <w:rPr>
          <w:lang w:val="es-ES"/>
        </w:rPr>
        <w:t xml:space="preserve">de esta concesión </w:t>
      </w:r>
      <w:r w:rsidR="00C61777">
        <w:rPr>
          <w:lang w:val="es-ES"/>
        </w:rPr>
        <w:t xml:space="preserve">es </w:t>
      </w:r>
      <w:proofErr w:type="spellStart"/>
      <w:r w:rsidR="00C61777">
        <w:rPr>
          <w:lang w:val="es-ES"/>
        </w:rPr>
        <w:t>Odinsa</w:t>
      </w:r>
      <w:proofErr w:type="spellEnd"/>
      <w:r w:rsidR="00C61777">
        <w:rPr>
          <w:lang w:val="es-ES"/>
        </w:rPr>
        <w:t xml:space="preserve">, cuyo presidente es Mauricio Ossa, anteriormente vicepresidente Regional Caribe de </w:t>
      </w:r>
      <w:proofErr w:type="spellStart"/>
      <w:r w:rsidR="007716F9">
        <w:rPr>
          <w:lang w:val="es-ES"/>
        </w:rPr>
        <w:t>Cementos</w:t>
      </w:r>
      <w:r w:rsidR="00C61777">
        <w:rPr>
          <w:lang w:val="es-ES"/>
        </w:rPr>
        <w:t>Argos</w:t>
      </w:r>
      <w:proofErr w:type="spellEnd"/>
    </w:p>
    <w:p w:rsidR="009F5641" w:rsidRDefault="009F5641">
      <w:pPr>
        <w:rPr>
          <w:lang w:val="es-ES"/>
        </w:rPr>
      </w:pPr>
    </w:p>
    <w:p w:rsidR="001D135F" w:rsidRDefault="00C61777">
      <w:pPr>
        <w:rPr>
          <w:lang w:val="es-ES"/>
        </w:rPr>
      </w:pPr>
      <w:r>
        <w:rPr>
          <w:lang w:val="es-ES"/>
        </w:rPr>
        <w:t xml:space="preserve">La tercera concesión más costosa, es </w:t>
      </w:r>
      <w:r w:rsidR="00612AFC">
        <w:rPr>
          <w:lang w:val="es-ES"/>
        </w:rPr>
        <w:t xml:space="preserve">la Malla vial del valle de Cauca y Cauca, la cual </w:t>
      </w:r>
      <w:r w:rsidR="007716F9">
        <w:rPr>
          <w:lang w:val="es-ES"/>
        </w:rPr>
        <w:t xml:space="preserve">cuenta </w:t>
      </w:r>
      <w:r w:rsidR="00612AFC">
        <w:rPr>
          <w:lang w:val="es-ES"/>
        </w:rPr>
        <w:t xml:space="preserve">con </w:t>
      </w:r>
      <w:r w:rsidR="007716F9">
        <w:rPr>
          <w:lang w:val="es-ES"/>
        </w:rPr>
        <w:t>nueva</w:t>
      </w:r>
      <w:r w:rsidR="00612AFC">
        <w:rPr>
          <w:lang w:val="es-ES"/>
        </w:rPr>
        <w:t xml:space="preserve"> peajes</w:t>
      </w:r>
      <w:r w:rsidR="007716F9">
        <w:rPr>
          <w:lang w:val="es-ES"/>
        </w:rPr>
        <w:t>,</w:t>
      </w:r>
      <w:r w:rsidR="00612AFC">
        <w:rPr>
          <w:lang w:val="es-ES"/>
        </w:rPr>
        <w:t xml:space="preserve"> recorrerla </w:t>
      </w:r>
      <w:r>
        <w:rPr>
          <w:lang w:val="es-ES"/>
        </w:rPr>
        <w:t xml:space="preserve">tiene un valor de $ 74.900. Esta Concesión ha tenido múltiples problemas por obras incompletas, por lo que la ANI se encuentra realizando una completa estructuración de lo que será </w:t>
      </w:r>
      <w:r w:rsidR="007716F9">
        <w:rPr>
          <w:lang w:val="es-ES"/>
        </w:rPr>
        <w:t>una</w:t>
      </w:r>
      <w:r>
        <w:rPr>
          <w:lang w:val="es-ES"/>
        </w:rPr>
        <w:t xml:space="preserve"> nueva concesión </w:t>
      </w:r>
      <w:r w:rsidR="007716F9">
        <w:rPr>
          <w:lang w:val="es-ES"/>
        </w:rPr>
        <w:t>para</w:t>
      </w:r>
      <w:r>
        <w:rPr>
          <w:lang w:val="es-ES"/>
        </w:rPr>
        <w:t xml:space="preserve"> esta vía</w:t>
      </w:r>
      <w:r w:rsidR="007716F9">
        <w:rPr>
          <w:lang w:val="es-ES"/>
        </w:rPr>
        <w:t xml:space="preserve"> tan importante del suroccidente.</w:t>
      </w:r>
    </w:p>
    <w:p w:rsidR="00C61777" w:rsidRDefault="00C61777">
      <w:pPr>
        <w:rPr>
          <w:lang w:val="es-ES"/>
        </w:rPr>
      </w:pPr>
    </w:p>
    <w:p w:rsidR="001D135F" w:rsidRDefault="007716F9">
      <w:pPr>
        <w:rPr>
          <w:lang w:val="es-ES"/>
        </w:rPr>
      </w:pPr>
      <w:r>
        <w:rPr>
          <w:lang w:val="es-ES"/>
        </w:rPr>
        <w:t>A continuación,</w:t>
      </w:r>
      <w:r w:rsidR="001D135F">
        <w:rPr>
          <w:lang w:val="es-ES"/>
        </w:rPr>
        <w:t xml:space="preserve"> las veinte concesiones más costosas en términos de peajes:</w:t>
      </w:r>
    </w:p>
    <w:p w:rsidR="001D135F" w:rsidRDefault="001D135F">
      <w:pPr>
        <w:rPr>
          <w:lang w:val="es-ES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2420"/>
        <w:gridCol w:w="1140"/>
        <w:gridCol w:w="1160"/>
      </w:tblGrid>
      <w:tr w:rsidR="00294391" w:rsidRPr="00294391" w:rsidTr="00294391">
        <w:trPr>
          <w:trHeight w:val="66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  <w:t>Nombre Concesionario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  <w:t>Socio mayoritario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  <w:t>Numero de Peajes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b/>
                <w:bCs/>
                <w:color w:val="000000"/>
                <w:sz w:val="22"/>
                <w:szCs w:val="22"/>
                <w:lang w:val="es-CO" w:eastAsia="es-ES_tradnl"/>
              </w:rPr>
              <w:t xml:space="preserve"> Valor Peajes </w:t>
            </w:r>
          </w:p>
        </w:tc>
      </w:tr>
      <w:tr w:rsidR="00294391" w:rsidRPr="00294391" w:rsidTr="00294391">
        <w:trPr>
          <w:trHeight w:val="40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CONCESIÓN RUTA AL MAR S.A.A CORUMA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Condor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84.800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AUTOPISTAS DEL CAFÉ S.A.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Odinsa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76.200 </w:t>
            </w:r>
          </w:p>
        </w:tc>
      </w:tr>
      <w:tr w:rsidR="00294391" w:rsidRPr="00294391" w:rsidTr="00294391">
        <w:trPr>
          <w:trHeight w:val="5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lastRenderedPageBreak/>
              <w:t>UNION TEMPORAL MALLA VIAL DEL VALLE DEL CAUCA Y CAUCA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Solarte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74.900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CONCESIONARIA YUMA S.A.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Impregilio SpA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49.000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COVIANDES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Coviandes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48.900 </w:t>
            </w:r>
          </w:p>
        </w:tc>
      </w:tr>
      <w:tr w:rsidR="00294391" w:rsidRPr="00294391" w:rsidTr="00294391">
        <w:trPr>
          <w:trHeight w:val="58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DESARROLLO VIAL DEL NORTE DE MEDELLIN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Mario Huertas Cotes-Fiducolombia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43.600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AUTOPISTAS DEL SOL S.A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KMA Construcciones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42.800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CONCESIÓN VIAL DE LOS LLANOS S.A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Odinsa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39.700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SANTA MARTA-PARAGUACHON S.A.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SM Holdings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37.200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CONCESIONARIO AUTOVIA NEIVA GIRARDOT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CSS Constructores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33.300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CONCESIONARIO DESARROLLO AL MAR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Strabag - Sacyr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31.400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CONCESIONARIO VIA AL MAR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Mario Huertas Cotes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26.700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ACCESOS NORTE DE BOGOTÁ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Mincivil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25.200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CSS CONSTRUCTORES S.A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Solarte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23.000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CONCESIONARIA ALTERNATIVAS VIALES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Icein - Mota Engil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20.800 </w:t>
            </w:r>
          </w:p>
        </w:tc>
      </w:tr>
      <w:tr w:rsidR="00294391" w:rsidRPr="00294391" w:rsidTr="00294391">
        <w:trPr>
          <w:trHeight w:val="56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CONCESIONARIA SAN RAFAEL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Colpatria-Termotécnica-Mincivil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20.000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VIA 40 EXPRESS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Conconcreto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20.000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CONCESIONARIO PACIFICO 3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MHC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19.300 </w:t>
            </w:r>
          </w:p>
        </w:tc>
      </w:tr>
      <w:tr w:rsidR="00294391" w:rsidRPr="00294391" w:rsidTr="00294391">
        <w:trPr>
          <w:trHeight w:val="56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CONCESIÓN SABANA DE OCCIDENTE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ICEIN-MHC-Pavimentos-Concay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18.700 </w:t>
            </w:r>
          </w:p>
        </w:tc>
      </w:tr>
      <w:tr w:rsidR="00294391" w:rsidRPr="00294391" w:rsidTr="00294391">
        <w:trPr>
          <w:trHeight w:val="5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CONCESIÓN PERIMETRAL ORIENTAL DE BOGOTA SAS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Shikum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F8D6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18.600 </w:t>
            </w:r>
          </w:p>
        </w:tc>
      </w:tr>
      <w:tr w:rsidR="00294391" w:rsidRPr="00294391" w:rsidTr="00294391">
        <w:trPr>
          <w:trHeight w:val="4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CONCESIONARIO VIAL DEL ORIENTE COVIORIENTE S.A.S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Episol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:rsidR="00294391" w:rsidRPr="00294391" w:rsidRDefault="00294391" w:rsidP="00294391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294391" w:rsidRPr="00294391" w:rsidRDefault="00294391" w:rsidP="00294391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</w:pPr>
            <w:r w:rsidRPr="002943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s-CO" w:eastAsia="es-ES_tradnl"/>
              </w:rPr>
              <w:t xml:space="preserve"> $  18.100 </w:t>
            </w:r>
          </w:p>
        </w:tc>
      </w:tr>
    </w:tbl>
    <w:p w:rsidR="00294391" w:rsidRPr="0033792E" w:rsidRDefault="00294391">
      <w:pPr>
        <w:rPr>
          <w:lang w:val="es-ES"/>
        </w:rPr>
      </w:pPr>
    </w:p>
    <w:sectPr w:rsidR="00294391" w:rsidRPr="0033792E" w:rsidSect="003842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2E"/>
    <w:rsid w:val="001D135F"/>
    <w:rsid w:val="001D4F7D"/>
    <w:rsid w:val="00280F4C"/>
    <w:rsid w:val="00294391"/>
    <w:rsid w:val="002D2762"/>
    <w:rsid w:val="0033792E"/>
    <w:rsid w:val="0038423B"/>
    <w:rsid w:val="004A44C7"/>
    <w:rsid w:val="00612AFC"/>
    <w:rsid w:val="007716F9"/>
    <w:rsid w:val="007E3297"/>
    <w:rsid w:val="008A6ECA"/>
    <w:rsid w:val="009661F5"/>
    <w:rsid w:val="009805FE"/>
    <w:rsid w:val="009F5641"/>
    <w:rsid w:val="00A86FAD"/>
    <w:rsid w:val="00B6640D"/>
    <w:rsid w:val="00C36C0C"/>
    <w:rsid w:val="00C61777"/>
    <w:rsid w:val="00D532CA"/>
    <w:rsid w:val="00E27655"/>
    <w:rsid w:val="00E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39AA"/>
  <w15:chartTrackingRefBased/>
  <w15:docId w15:val="{6E856304-FE69-1549-813B-98B76E74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María E.</cp:lastModifiedBy>
  <cp:revision>3</cp:revision>
  <dcterms:created xsi:type="dcterms:W3CDTF">2018-12-18T18:51:00Z</dcterms:created>
  <dcterms:modified xsi:type="dcterms:W3CDTF">2018-12-19T21:07:00Z</dcterms:modified>
</cp:coreProperties>
</file>