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2.xml" ContentType="application/vnd.openxmlformats-officedocument.themeOverride+xml"/>
  <Override PartName="/word/charts/chart13.xml" ContentType="application/vnd.openxmlformats-officedocument.drawingml.chart+xml"/>
  <Override PartName="/word/theme/themeOverride3.xml" ContentType="application/vnd.openxmlformats-officedocument.themeOverride+xml"/>
  <Override PartName="/word/charts/chart14.xml" ContentType="application/vnd.openxmlformats-officedocument.drawingml.chart+xml"/>
  <Override PartName="/word/theme/themeOverride4.xml" ContentType="application/vnd.openxmlformats-officedocument.themeOverride+xml"/>
  <Override PartName="/word/charts/chart15.xml" ContentType="application/vnd.openxmlformats-officedocument.drawingml.chart+xml"/>
  <Override PartName="/word/theme/themeOverride5.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6.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D3284" w14:textId="77777777" w:rsidR="00866AEE" w:rsidRDefault="00866AEE" w:rsidP="00447439">
      <w:pPr>
        <w:pStyle w:val="Ttulo1"/>
        <w:spacing w:line="240" w:lineRule="auto"/>
        <w:jc w:val="right"/>
        <w:rPr>
          <w:b/>
          <w:sz w:val="24"/>
          <w:szCs w:val="24"/>
        </w:rPr>
      </w:pPr>
      <w:bookmarkStart w:id="0" w:name="_GoBack"/>
      <w:bookmarkEnd w:id="0"/>
      <w:r>
        <w:rPr>
          <w:b/>
          <w:noProof/>
          <w:sz w:val="24"/>
          <w:szCs w:val="24"/>
          <w:lang w:eastAsia="es-CO"/>
        </w:rPr>
        <w:drawing>
          <wp:inline distT="0" distB="0" distL="0" distR="0" wp14:anchorId="307249D0" wp14:editId="5EC403A9">
            <wp:extent cx="1816735" cy="90868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6735" cy="908685"/>
                    </a:xfrm>
                    <a:prstGeom prst="rect">
                      <a:avLst/>
                    </a:prstGeom>
                    <a:noFill/>
                  </pic:spPr>
                </pic:pic>
              </a:graphicData>
            </a:graphic>
          </wp:inline>
        </w:drawing>
      </w:r>
    </w:p>
    <w:p w14:paraId="09635ED6" w14:textId="1557A7FB" w:rsidR="00447439" w:rsidRDefault="00447439" w:rsidP="00447439">
      <w:pPr>
        <w:pStyle w:val="Ttulo1"/>
        <w:spacing w:line="240" w:lineRule="auto"/>
        <w:jc w:val="right"/>
        <w:rPr>
          <w:b/>
          <w:sz w:val="24"/>
          <w:szCs w:val="24"/>
        </w:rPr>
      </w:pPr>
      <w:r>
        <w:rPr>
          <w:b/>
          <w:sz w:val="24"/>
          <w:szCs w:val="24"/>
        </w:rPr>
        <w:t>Ariel Ávila Martínez</w:t>
      </w:r>
    </w:p>
    <w:p w14:paraId="1C0A60BD" w14:textId="77777777" w:rsidR="00447439" w:rsidRDefault="00447439" w:rsidP="00447439">
      <w:pPr>
        <w:spacing w:line="240" w:lineRule="auto"/>
        <w:jc w:val="right"/>
        <w:rPr>
          <w:color w:val="2E74B5" w:themeColor="accent1" w:themeShade="BF"/>
        </w:rPr>
      </w:pPr>
      <w:r w:rsidRPr="00447439">
        <w:rPr>
          <w:color w:val="2E74B5" w:themeColor="accent1" w:themeShade="BF"/>
        </w:rPr>
        <w:t xml:space="preserve">Subdirector Académico </w:t>
      </w:r>
    </w:p>
    <w:p w14:paraId="5CFCF4AE" w14:textId="552DE89C" w:rsidR="00447439" w:rsidRPr="00447439" w:rsidRDefault="00447439" w:rsidP="00447439">
      <w:pPr>
        <w:spacing w:line="240" w:lineRule="auto"/>
        <w:jc w:val="right"/>
        <w:rPr>
          <w:color w:val="2E74B5" w:themeColor="accent1" w:themeShade="BF"/>
        </w:rPr>
      </w:pPr>
      <w:r w:rsidRPr="00447439">
        <w:rPr>
          <w:color w:val="2E74B5" w:themeColor="accent1" w:themeShade="BF"/>
        </w:rPr>
        <w:t>Fundación Paz y Reconciliación</w:t>
      </w:r>
    </w:p>
    <w:p w14:paraId="1AF9D588" w14:textId="33FD034C" w:rsidR="00DF7417" w:rsidRPr="007529B2" w:rsidRDefault="007529B2" w:rsidP="007529B2">
      <w:pPr>
        <w:pStyle w:val="Ttulo1"/>
        <w:jc w:val="center"/>
        <w:rPr>
          <w:b/>
          <w:sz w:val="72"/>
          <w:szCs w:val="72"/>
        </w:rPr>
      </w:pPr>
      <w:r w:rsidRPr="007529B2">
        <w:rPr>
          <w:b/>
          <w:sz w:val="72"/>
          <w:szCs w:val="72"/>
        </w:rPr>
        <w:t>Lo que hemos ganado</w:t>
      </w:r>
    </w:p>
    <w:p w14:paraId="74126321" w14:textId="77777777" w:rsidR="00DF7417" w:rsidRPr="009C0689" w:rsidRDefault="00DF7417" w:rsidP="009C0689">
      <w:pPr>
        <w:pStyle w:val="Ttulo1"/>
        <w:spacing w:before="120" w:after="120" w:line="276" w:lineRule="auto"/>
        <w:rPr>
          <w:rFonts w:asciiTheme="minorHAnsi" w:hAnsiTheme="minorHAnsi"/>
          <w:sz w:val="24"/>
          <w:szCs w:val="24"/>
        </w:rPr>
      </w:pPr>
    </w:p>
    <w:p w14:paraId="11B550E1" w14:textId="0775D6AB" w:rsidR="006F3F4E" w:rsidRDefault="007529B2" w:rsidP="009C0689">
      <w:pPr>
        <w:pStyle w:val="Ttulo1"/>
        <w:spacing w:before="120" w:after="120" w:line="276" w:lineRule="auto"/>
        <w:rPr>
          <w:rFonts w:asciiTheme="minorHAnsi" w:hAnsiTheme="minorHAnsi"/>
          <w:sz w:val="24"/>
          <w:szCs w:val="24"/>
        </w:rPr>
      </w:pPr>
      <w:r>
        <w:rPr>
          <w:rFonts w:asciiTheme="minorHAnsi" w:hAnsiTheme="minorHAnsi"/>
          <w:sz w:val="24"/>
          <w:szCs w:val="24"/>
        </w:rPr>
        <w:t>Se redujeron los combates, los muertos, los heridos,</w:t>
      </w:r>
      <w:r w:rsidR="00F36006">
        <w:rPr>
          <w:rFonts w:asciiTheme="minorHAnsi" w:hAnsiTheme="minorHAnsi"/>
          <w:sz w:val="24"/>
          <w:szCs w:val="24"/>
        </w:rPr>
        <w:t xml:space="preserve"> los secuestrados, los</w:t>
      </w:r>
      <w:r>
        <w:rPr>
          <w:rFonts w:asciiTheme="minorHAnsi" w:hAnsiTheme="minorHAnsi"/>
          <w:sz w:val="24"/>
          <w:szCs w:val="24"/>
        </w:rPr>
        <w:t xml:space="preserve"> desplazamientos forzados, los ataques a la población civil.</w:t>
      </w:r>
      <w:r w:rsidR="00F36006">
        <w:rPr>
          <w:rFonts w:asciiTheme="minorHAnsi" w:hAnsiTheme="minorHAnsi"/>
          <w:sz w:val="24"/>
          <w:szCs w:val="24"/>
        </w:rPr>
        <w:t xml:space="preserve"> Hay una excepción: aumentaron los ataques a bienes particulares y a la infraestructura energética del país. </w:t>
      </w:r>
    </w:p>
    <w:p w14:paraId="520624EA" w14:textId="77777777" w:rsidR="007529B2" w:rsidRPr="007529B2" w:rsidRDefault="007529B2" w:rsidP="007529B2"/>
    <w:p w14:paraId="37B8ACEB" w14:textId="77777777" w:rsidR="007529B2" w:rsidRDefault="007529B2" w:rsidP="009C0689">
      <w:pPr>
        <w:spacing w:before="120" w:after="120" w:line="276" w:lineRule="auto"/>
        <w:jc w:val="both"/>
        <w:rPr>
          <w:sz w:val="24"/>
          <w:szCs w:val="24"/>
        </w:rPr>
      </w:pPr>
      <w:r>
        <w:rPr>
          <w:sz w:val="24"/>
          <w:szCs w:val="24"/>
        </w:rPr>
        <w:t xml:space="preserve">Esta es la verdad después de hacer un balance completo del accionar de las FARC en el 2014 y compararlo con los años anteriores.  </w:t>
      </w:r>
      <w:r w:rsidR="00D45988" w:rsidRPr="009C0689">
        <w:rPr>
          <w:sz w:val="24"/>
          <w:szCs w:val="24"/>
        </w:rPr>
        <w:t>Luego de analizar los datos sobre la intensidad de la confrontació</w:t>
      </w:r>
      <w:r>
        <w:rPr>
          <w:sz w:val="24"/>
          <w:szCs w:val="24"/>
        </w:rPr>
        <w:t>n armada entre esta guerrilla</w:t>
      </w:r>
      <w:r w:rsidR="006715F1" w:rsidRPr="009C0689">
        <w:rPr>
          <w:sz w:val="24"/>
          <w:szCs w:val="24"/>
        </w:rPr>
        <w:t xml:space="preserve"> y las Fuerzas Militares</w:t>
      </w:r>
      <w:r w:rsidR="00250637">
        <w:rPr>
          <w:sz w:val="24"/>
          <w:szCs w:val="24"/>
        </w:rPr>
        <w:t>,</w:t>
      </w:r>
      <w:r w:rsidR="006715F1" w:rsidRPr="009C0689">
        <w:rPr>
          <w:sz w:val="24"/>
          <w:szCs w:val="24"/>
        </w:rPr>
        <w:t xml:space="preserve"> surgen c</w:t>
      </w:r>
      <w:r w:rsidR="00873F42" w:rsidRPr="009C0689">
        <w:rPr>
          <w:sz w:val="24"/>
          <w:szCs w:val="24"/>
        </w:rPr>
        <w:t>inco</w:t>
      </w:r>
      <w:r w:rsidR="00250637">
        <w:rPr>
          <w:sz w:val="24"/>
          <w:szCs w:val="24"/>
        </w:rPr>
        <w:t xml:space="preserve"> grandes conclusiones.</w:t>
      </w:r>
      <w:r w:rsidR="006715F1" w:rsidRPr="009C0689">
        <w:rPr>
          <w:sz w:val="24"/>
          <w:szCs w:val="24"/>
        </w:rPr>
        <w:t xml:space="preserve"> </w:t>
      </w:r>
    </w:p>
    <w:p w14:paraId="73EC74B1" w14:textId="14CB8F60" w:rsidR="00B252A7" w:rsidRPr="009C0689" w:rsidRDefault="006715F1" w:rsidP="009C0689">
      <w:pPr>
        <w:spacing w:before="120" w:after="120" w:line="276" w:lineRule="auto"/>
        <w:jc w:val="both"/>
        <w:rPr>
          <w:sz w:val="24"/>
          <w:szCs w:val="24"/>
        </w:rPr>
      </w:pPr>
      <w:r w:rsidRPr="009C0689">
        <w:rPr>
          <w:sz w:val="24"/>
          <w:szCs w:val="24"/>
        </w:rPr>
        <w:t>El primer lugar</w:t>
      </w:r>
      <w:r w:rsidR="00837147" w:rsidRPr="009C0689">
        <w:rPr>
          <w:sz w:val="24"/>
          <w:szCs w:val="24"/>
        </w:rPr>
        <w:t>,</w:t>
      </w:r>
      <w:r w:rsidRPr="009C0689">
        <w:rPr>
          <w:sz w:val="24"/>
          <w:szCs w:val="24"/>
        </w:rPr>
        <w:t xml:space="preserve"> se comprueba una reducción cercana al 40% en la intensidad de la confrontación</w:t>
      </w:r>
      <w:r w:rsidR="003C225F">
        <w:rPr>
          <w:sz w:val="24"/>
          <w:szCs w:val="24"/>
        </w:rPr>
        <w:t xml:space="preserve"> comparada en comparación con 2013</w:t>
      </w:r>
      <w:r w:rsidRPr="009C0689">
        <w:rPr>
          <w:sz w:val="24"/>
          <w:szCs w:val="24"/>
        </w:rPr>
        <w:t>. Dicha reducción</w:t>
      </w:r>
      <w:r w:rsidR="000E38A3">
        <w:rPr>
          <w:sz w:val="24"/>
          <w:szCs w:val="24"/>
        </w:rPr>
        <w:t xml:space="preserve"> tiene</w:t>
      </w:r>
      <w:r w:rsidR="003C225F">
        <w:rPr>
          <w:sz w:val="24"/>
          <w:szCs w:val="24"/>
        </w:rPr>
        <w:t xml:space="preserve"> diversas causas.  P</w:t>
      </w:r>
      <w:r w:rsidRPr="009C0689">
        <w:rPr>
          <w:sz w:val="24"/>
          <w:szCs w:val="24"/>
        </w:rPr>
        <w:t>or un lado, durante el año 2014</w:t>
      </w:r>
      <w:r w:rsidR="000E38A3">
        <w:rPr>
          <w:sz w:val="24"/>
          <w:szCs w:val="24"/>
        </w:rPr>
        <w:t>,</w:t>
      </w:r>
      <w:r w:rsidRPr="009C0689">
        <w:rPr>
          <w:sz w:val="24"/>
          <w:szCs w:val="24"/>
        </w:rPr>
        <w:t xml:space="preserve"> las FARC declararon treguas unilaterales</w:t>
      </w:r>
      <w:r w:rsidR="00873F42" w:rsidRPr="009C0689">
        <w:rPr>
          <w:sz w:val="24"/>
          <w:szCs w:val="24"/>
        </w:rPr>
        <w:t xml:space="preserve"> en diferentes momentos del año</w:t>
      </w:r>
      <w:r w:rsidRPr="009C0689">
        <w:rPr>
          <w:sz w:val="24"/>
          <w:szCs w:val="24"/>
        </w:rPr>
        <w:t xml:space="preserve">, </w:t>
      </w:r>
      <w:r w:rsidR="007529B2">
        <w:rPr>
          <w:sz w:val="24"/>
          <w:szCs w:val="24"/>
        </w:rPr>
        <w:t>en total cubrieron 56 días. Tres</w:t>
      </w:r>
      <w:r w:rsidR="003C225F">
        <w:rPr>
          <w:sz w:val="24"/>
          <w:szCs w:val="24"/>
        </w:rPr>
        <w:t xml:space="preserve"> se</w:t>
      </w:r>
      <w:r w:rsidR="00873F42" w:rsidRPr="009C0689">
        <w:rPr>
          <w:sz w:val="24"/>
          <w:szCs w:val="24"/>
        </w:rPr>
        <w:t xml:space="preserve"> declararon</w:t>
      </w:r>
      <w:r w:rsidRPr="009C0689">
        <w:rPr>
          <w:sz w:val="24"/>
          <w:szCs w:val="24"/>
        </w:rPr>
        <w:t xml:space="preserve"> durante </w:t>
      </w:r>
      <w:r w:rsidR="00873F42" w:rsidRPr="009C0689">
        <w:rPr>
          <w:sz w:val="24"/>
          <w:szCs w:val="24"/>
        </w:rPr>
        <w:t xml:space="preserve">el </w:t>
      </w:r>
      <w:r w:rsidR="0082097D" w:rsidRPr="009C0689">
        <w:rPr>
          <w:sz w:val="24"/>
          <w:szCs w:val="24"/>
        </w:rPr>
        <w:t>periodo electoral</w:t>
      </w:r>
      <w:r w:rsidRPr="009C0689">
        <w:rPr>
          <w:sz w:val="24"/>
          <w:szCs w:val="24"/>
        </w:rPr>
        <w:t xml:space="preserve">. Las treguas redujeron significativamente las acciones de iniciativa de la guerrilla. </w:t>
      </w:r>
      <w:r w:rsidR="003C225F">
        <w:rPr>
          <w:sz w:val="24"/>
          <w:szCs w:val="24"/>
        </w:rPr>
        <w:t>Otro factor que explica</w:t>
      </w:r>
      <w:r w:rsidR="00B252A7" w:rsidRPr="009C0689">
        <w:rPr>
          <w:sz w:val="24"/>
          <w:szCs w:val="24"/>
        </w:rPr>
        <w:t xml:space="preserve"> reducción</w:t>
      </w:r>
      <w:r w:rsidR="003C225F">
        <w:rPr>
          <w:sz w:val="24"/>
          <w:szCs w:val="24"/>
        </w:rPr>
        <w:t>,</w:t>
      </w:r>
      <w:r w:rsidR="00B252A7" w:rsidRPr="009C0689">
        <w:rPr>
          <w:sz w:val="24"/>
          <w:szCs w:val="24"/>
        </w:rPr>
        <w:t xml:space="preserve"> es que la guer</w:t>
      </w:r>
      <w:r w:rsidR="0082097D" w:rsidRPr="009C0689">
        <w:rPr>
          <w:sz w:val="24"/>
          <w:szCs w:val="24"/>
        </w:rPr>
        <w:t>rilla de las FARC se ha dedicado,</w:t>
      </w:r>
      <w:r w:rsidR="00B252A7" w:rsidRPr="009C0689">
        <w:rPr>
          <w:sz w:val="24"/>
          <w:szCs w:val="24"/>
        </w:rPr>
        <w:t xml:space="preserve"> desde finales del año 2013</w:t>
      </w:r>
      <w:r w:rsidR="0082097D" w:rsidRPr="009C0689">
        <w:rPr>
          <w:sz w:val="24"/>
          <w:szCs w:val="24"/>
        </w:rPr>
        <w:t xml:space="preserve">, al trabajo político, </w:t>
      </w:r>
      <w:r w:rsidR="00B252A7" w:rsidRPr="009C0689">
        <w:rPr>
          <w:sz w:val="24"/>
          <w:szCs w:val="24"/>
        </w:rPr>
        <w:t>a reconstru</w:t>
      </w:r>
      <w:r w:rsidR="0082097D" w:rsidRPr="009C0689">
        <w:rPr>
          <w:sz w:val="24"/>
          <w:szCs w:val="24"/>
        </w:rPr>
        <w:t xml:space="preserve">ir su base social y en general </w:t>
      </w:r>
      <w:r w:rsidR="00B252A7" w:rsidRPr="009C0689">
        <w:rPr>
          <w:sz w:val="24"/>
          <w:szCs w:val="24"/>
        </w:rPr>
        <w:t xml:space="preserve">a preparase para el postconflicto. Incluso se podría decir que las FARC han comenzado a pensar en opinión pública y ahora sus acciones armadas son calculadas no únicamente desde el punto de vista militar. </w:t>
      </w:r>
    </w:p>
    <w:p w14:paraId="5145A9E7" w14:textId="6FE75E64" w:rsidR="00B252A7" w:rsidRPr="009C0689" w:rsidRDefault="00B252A7" w:rsidP="009C0689">
      <w:pPr>
        <w:spacing w:before="120" w:after="120" w:line="276" w:lineRule="auto"/>
        <w:jc w:val="both"/>
        <w:rPr>
          <w:sz w:val="24"/>
          <w:szCs w:val="24"/>
        </w:rPr>
      </w:pPr>
      <w:r w:rsidRPr="009C0689">
        <w:rPr>
          <w:sz w:val="24"/>
          <w:szCs w:val="24"/>
        </w:rPr>
        <w:t>Una segunda conclusión</w:t>
      </w:r>
      <w:r w:rsidR="007529B2">
        <w:rPr>
          <w:sz w:val="24"/>
          <w:szCs w:val="24"/>
        </w:rPr>
        <w:t>.</w:t>
      </w:r>
      <w:r w:rsidRPr="009C0689">
        <w:rPr>
          <w:sz w:val="24"/>
          <w:szCs w:val="24"/>
        </w:rPr>
        <w:t xml:space="preserve"> </w:t>
      </w:r>
      <w:r w:rsidR="007529B2">
        <w:rPr>
          <w:sz w:val="24"/>
          <w:szCs w:val="24"/>
        </w:rPr>
        <w:t>El 2014, a pesar de ser</w:t>
      </w:r>
      <w:r w:rsidRPr="009C0689">
        <w:rPr>
          <w:sz w:val="24"/>
          <w:szCs w:val="24"/>
        </w:rPr>
        <w:t xml:space="preserve"> un año electoral, fue</w:t>
      </w:r>
      <w:r w:rsidR="007529B2">
        <w:rPr>
          <w:sz w:val="24"/>
          <w:szCs w:val="24"/>
        </w:rPr>
        <w:t xml:space="preserve"> uno de los más pacíficos.  L</w:t>
      </w:r>
      <w:r w:rsidR="00873F42" w:rsidRPr="009C0689">
        <w:rPr>
          <w:sz w:val="24"/>
          <w:szCs w:val="24"/>
        </w:rPr>
        <w:t>a guerrilla de las FARC acabó</w:t>
      </w:r>
      <w:r w:rsidRPr="009C0689">
        <w:rPr>
          <w:sz w:val="24"/>
          <w:szCs w:val="24"/>
        </w:rPr>
        <w:t xml:space="preserve"> con la vieja estrategia del boicot</w:t>
      </w:r>
      <w:r w:rsidR="003C225F">
        <w:rPr>
          <w:sz w:val="24"/>
          <w:szCs w:val="24"/>
        </w:rPr>
        <w:t xml:space="preserve"> electoral </w:t>
      </w:r>
      <w:r w:rsidRPr="009C0689">
        <w:rPr>
          <w:sz w:val="24"/>
          <w:szCs w:val="24"/>
        </w:rPr>
        <w:t>y el vacío de poder. Esto significó que la mayoría de los candidatos a carg</w:t>
      </w:r>
      <w:r w:rsidR="003C225F">
        <w:rPr>
          <w:sz w:val="24"/>
          <w:szCs w:val="24"/>
        </w:rPr>
        <w:t>os de elección</w:t>
      </w:r>
      <w:r w:rsidR="00873F42" w:rsidRPr="009C0689">
        <w:rPr>
          <w:sz w:val="24"/>
          <w:szCs w:val="24"/>
        </w:rPr>
        <w:t xml:space="preserve"> popular lograron</w:t>
      </w:r>
      <w:r w:rsidR="004E57B0" w:rsidRPr="009C0689">
        <w:rPr>
          <w:sz w:val="24"/>
          <w:szCs w:val="24"/>
        </w:rPr>
        <w:t xml:space="preserve"> hacer campaña en zonas que son</w:t>
      </w:r>
      <w:r w:rsidRPr="009C0689">
        <w:rPr>
          <w:sz w:val="24"/>
          <w:szCs w:val="24"/>
        </w:rPr>
        <w:t xml:space="preserve"> de presencia fuerte de las guerrillas, como la zona rural de Puerto Asís o en varias zonas rurales del Cauca.</w:t>
      </w:r>
      <w:r w:rsidR="007529B2">
        <w:rPr>
          <w:sz w:val="24"/>
          <w:szCs w:val="24"/>
        </w:rPr>
        <w:t xml:space="preserve"> Sólo se presentaron </w:t>
      </w:r>
      <w:r w:rsidR="007529B2">
        <w:rPr>
          <w:sz w:val="24"/>
          <w:szCs w:val="24"/>
        </w:rPr>
        <w:lastRenderedPageBreak/>
        <w:t xml:space="preserve">algunas denuncias de presiones armadas no suficientemente sustentadas por parte del Centro Democrático. </w:t>
      </w:r>
      <w:r w:rsidRPr="009C0689">
        <w:rPr>
          <w:sz w:val="24"/>
          <w:szCs w:val="24"/>
        </w:rPr>
        <w:t xml:space="preserve"> Pareciera que la tendencia en 2015 será exactamente igual. </w:t>
      </w:r>
    </w:p>
    <w:p w14:paraId="7893E9A4" w14:textId="604806A7" w:rsidR="00B252A7" w:rsidRPr="009C0689" w:rsidRDefault="00B252A7" w:rsidP="009C0689">
      <w:pPr>
        <w:spacing w:before="120" w:after="120" w:line="276" w:lineRule="auto"/>
        <w:jc w:val="both"/>
        <w:rPr>
          <w:sz w:val="24"/>
          <w:szCs w:val="24"/>
        </w:rPr>
      </w:pPr>
      <w:r w:rsidRPr="009C0689">
        <w:rPr>
          <w:sz w:val="24"/>
          <w:szCs w:val="24"/>
        </w:rPr>
        <w:t xml:space="preserve">Una tercera conclusión que se puede extraer de los datos y </w:t>
      </w:r>
      <w:r w:rsidR="000E38A3">
        <w:rPr>
          <w:sz w:val="24"/>
          <w:szCs w:val="24"/>
        </w:rPr>
        <w:t>d</w:t>
      </w:r>
      <w:r w:rsidRPr="009C0689">
        <w:rPr>
          <w:sz w:val="24"/>
          <w:szCs w:val="24"/>
        </w:rPr>
        <w:t xml:space="preserve">el </w:t>
      </w:r>
      <w:r w:rsidR="003C225F">
        <w:rPr>
          <w:sz w:val="24"/>
          <w:szCs w:val="24"/>
        </w:rPr>
        <w:t>trabajo de campo realizado por PARES</w:t>
      </w:r>
      <w:r w:rsidRPr="009C0689">
        <w:rPr>
          <w:sz w:val="24"/>
          <w:szCs w:val="24"/>
        </w:rPr>
        <w:t>, se refiere a que la gue</w:t>
      </w:r>
      <w:r w:rsidR="007529B2">
        <w:rPr>
          <w:sz w:val="24"/>
          <w:szCs w:val="24"/>
        </w:rPr>
        <w:t>rrilla de las FARC cumplió en un 98</w:t>
      </w:r>
      <w:r w:rsidRPr="009C0689">
        <w:rPr>
          <w:sz w:val="24"/>
          <w:szCs w:val="24"/>
        </w:rPr>
        <w:t xml:space="preserve">% las diferentes treguas unilaterales anunciadas durante el año 2014. </w:t>
      </w:r>
      <w:r w:rsidR="00B10F48" w:rsidRPr="009C0689">
        <w:rPr>
          <w:sz w:val="24"/>
          <w:szCs w:val="24"/>
        </w:rPr>
        <w:t>Solo en las 5 treguas del año, se cometieron 2 violaciones a las mismas. Esto hecha al traste las teorías sobr</w:t>
      </w:r>
      <w:r w:rsidR="003C225F">
        <w:rPr>
          <w:sz w:val="24"/>
          <w:szCs w:val="24"/>
        </w:rPr>
        <w:t>e una</w:t>
      </w:r>
      <w:r w:rsidR="00950C74" w:rsidRPr="009C0689">
        <w:rPr>
          <w:sz w:val="24"/>
          <w:szCs w:val="24"/>
        </w:rPr>
        <w:t xml:space="preserve"> descoordinación e</w:t>
      </w:r>
      <w:r w:rsidR="00B10F48" w:rsidRPr="009C0689">
        <w:rPr>
          <w:sz w:val="24"/>
          <w:szCs w:val="24"/>
        </w:rPr>
        <w:t xml:space="preserve"> insubordinación de algunos frentes de las FARC</w:t>
      </w:r>
      <w:r w:rsidR="003C225F">
        <w:rPr>
          <w:sz w:val="24"/>
          <w:szCs w:val="24"/>
        </w:rPr>
        <w:t xml:space="preserve">, o su </w:t>
      </w:r>
      <w:r w:rsidR="00950C74" w:rsidRPr="009C0689">
        <w:rPr>
          <w:sz w:val="24"/>
          <w:szCs w:val="24"/>
        </w:rPr>
        <w:t xml:space="preserve">división, se comprueba que existe mando y control de la comandancia de las FARC. </w:t>
      </w:r>
      <w:r w:rsidRPr="009C0689">
        <w:rPr>
          <w:sz w:val="24"/>
          <w:szCs w:val="24"/>
        </w:rPr>
        <w:t xml:space="preserve">    </w:t>
      </w:r>
    </w:p>
    <w:p w14:paraId="5D7739E7" w14:textId="1F2A1286" w:rsidR="00824924" w:rsidRPr="009C0689" w:rsidRDefault="00950C74" w:rsidP="009C0689">
      <w:pPr>
        <w:spacing w:before="120" w:after="120" w:line="276" w:lineRule="auto"/>
        <w:jc w:val="both"/>
        <w:rPr>
          <w:sz w:val="24"/>
          <w:szCs w:val="24"/>
        </w:rPr>
      </w:pPr>
      <w:r w:rsidRPr="009C0689">
        <w:rPr>
          <w:sz w:val="24"/>
          <w:szCs w:val="24"/>
        </w:rPr>
        <w:t xml:space="preserve">Una cuarta </w:t>
      </w:r>
      <w:r w:rsidR="000E38A3">
        <w:rPr>
          <w:sz w:val="24"/>
          <w:szCs w:val="24"/>
        </w:rPr>
        <w:t>conclusión:</w:t>
      </w:r>
      <w:r w:rsidRPr="009C0689">
        <w:rPr>
          <w:sz w:val="24"/>
          <w:szCs w:val="24"/>
        </w:rPr>
        <w:t xml:space="preserve"> las Fuerzas Militares mantuvieron su accionar militar, aunque en varias regiones del país se presentaron reducciones significativas en la operatividad. En todo caso, dicho descenso no podría ser catalogado como una desmoralización de la fuerza pública o una estrategia de manos caídas</w:t>
      </w:r>
      <w:r w:rsidR="0082097D" w:rsidRPr="009C0689">
        <w:rPr>
          <w:sz w:val="24"/>
          <w:szCs w:val="24"/>
        </w:rPr>
        <w:t xml:space="preserve"> y obviamente se derrumba la tesis de algunos sectores sobre un supues</w:t>
      </w:r>
      <w:r w:rsidR="003C225F">
        <w:rPr>
          <w:sz w:val="24"/>
          <w:szCs w:val="24"/>
        </w:rPr>
        <w:t xml:space="preserve">to </w:t>
      </w:r>
      <w:r w:rsidR="00F36006">
        <w:rPr>
          <w:sz w:val="24"/>
          <w:szCs w:val="24"/>
        </w:rPr>
        <w:t>“</w:t>
      </w:r>
      <w:r w:rsidR="003C225F">
        <w:rPr>
          <w:sz w:val="24"/>
          <w:szCs w:val="24"/>
        </w:rPr>
        <w:t xml:space="preserve">cese bilateral de fuego por </w:t>
      </w:r>
      <w:r w:rsidR="0082097D" w:rsidRPr="009C0689">
        <w:rPr>
          <w:sz w:val="24"/>
          <w:szCs w:val="24"/>
        </w:rPr>
        <w:t>debajo de la mesa”</w:t>
      </w:r>
      <w:r w:rsidRPr="009C0689">
        <w:rPr>
          <w:sz w:val="24"/>
          <w:szCs w:val="24"/>
        </w:rPr>
        <w:t>.</w:t>
      </w:r>
      <w:r w:rsidR="0082097D" w:rsidRPr="009C0689">
        <w:rPr>
          <w:sz w:val="24"/>
          <w:szCs w:val="24"/>
        </w:rPr>
        <w:t xml:space="preserve"> En cambio de lo que se puede hablar</w:t>
      </w:r>
      <w:r w:rsidR="00B10776" w:rsidRPr="009C0689">
        <w:rPr>
          <w:sz w:val="24"/>
          <w:szCs w:val="24"/>
        </w:rPr>
        <w:t xml:space="preserve"> es de un proceso de desescaliamiento de</w:t>
      </w:r>
      <w:r w:rsidR="000E38A3">
        <w:rPr>
          <w:sz w:val="24"/>
          <w:szCs w:val="24"/>
        </w:rPr>
        <w:t>l</w:t>
      </w:r>
      <w:r w:rsidR="00B10776" w:rsidRPr="009C0689">
        <w:rPr>
          <w:sz w:val="24"/>
          <w:szCs w:val="24"/>
        </w:rPr>
        <w:t xml:space="preserve"> confli</w:t>
      </w:r>
      <w:r w:rsidR="003C225F">
        <w:rPr>
          <w:sz w:val="24"/>
          <w:szCs w:val="24"/>
        </w:rPr>
        <w:t>cto armado, que comenzó desde cuando se</w:t>
      </w:r>
      <w:r w:rsidR="00B10776" w:rsidRPr="009C0689">
        <w:rPr>
          <w:sz w:val="24"/>
          <w:szCs w:val="24"/>
        </w:rPr>
        <w:t xml:space="preserve"> anuncia del cese unilateral indefinido el 20 de diciembre de 2014. </w:t>
      </w:r>
      <w:r w:rsidR="0082097D" w:rsidRPr="009C0689">
        <w:rPr>
          <w:sz w:val="24"/>
          <w:szCs w:val="24"/>
        </w:rPr>
        <w:t xml:space="preserve"> </w:t>
      </w:r>
    </w:p>
    <w:p w14:paraId="41F5408A" w14:textId="7FB96BB0" w:rsidR="009F24B8" w:rsidRPr="009C0689" w:rsidRDefault="003C225F" w:rsidP="009C0689">
      <w:pPr>
        <w:spacing w:before="120" w:after="120" w:line="276" w:lineRule="auto"/>
        <w:jc w:val="both"/>
        <w:rPr>
          <w:sz w:val="24"/>
          <w:szCs w:val="24"/>
        </w:rPr>
      </w:pPr>
      <w:r>
        <w:rPr>
          <w:sz w:val="24"/>
          <w:szCs w:val="24"/>
        </w:rPr>
        <w:t>Otra conclusión</w:t>
      </w:r>
      <w:r w:rsidR="00247056" w:rsidRPr="009C0689">
        <w:rPr>
          <w:sz w:val="24"/>
          <w:szCs w:val="24"/>
        </w:rPr>
        <w:t xml:space="preserve"> important</w:t>
      </w:r>
      <w:r>
        <w:rPr>
          <w:sz w:val="24"/>
          <w:szCs w:val="24"/>
        </w:rPr>
        <w:t xml:space="preserve">e: </w:t>
      </w:r>
      <w:r w:rsidR="00247056" w:rsidRPr="009C0689">
        <w:rPr>
          <w:sz w:val="24"/>
          <w:szCs w:val="24"/>
        </w:rPr>
        <w:t xml:space="preserve">existe una alta coincidencia entre el ritmo de la confrontación militar y el ritmo de la mesa de negociación. Así las cosas, cuando la mesa fluye de forma importante </w:t>
      </w:r>
      <w:r w:rsidR="009F24B8" w:rsidRPr="009C0689">
        <w:rPr>
          <w:sz w:val="24"/>
          <w:szCs w:val="24"/>
        </w:rPr>
        <w:t xml:space="preserve">la intensidad de las acciones de las FARC disminuyen y cuando la mesa está paralizada el ritmo </w:t>
      </w:r>
      <w:r w:rsidR="00873F42" w:rsidRPr="009C0689">
        <w:rPr>
          <w:sz w:val="24"/>
          <w:szCs w:val="24"/>
        </w:rPr>
        <w:t xml:space="preserve">de la confrontación </w:t>
      </w:r>
      <w:r w:rsidR="009F24B8" w:rsidRPr="009C0689">
        <w:rPr>
          <w:sz w:val="24"/>
          <w:szCs w:val="24"/>
        </w:rPr>
        <w:t>aumenta. Las acciones armadas se han convertido en un mecanismo de presión que ejercen las FARC sobre el ritmo de la negociaci</w:t>
      </w:r>
      <w:r w:rsidR="004E57B0" w:rsidRPr="009C0689">
        <w:rPr>
          <w:sz w:val="24"/>
          <w:szCs w:val="24"/>
        </w:rPr>
        <w:t>ón. Sin embargo, para 2015 esto</w:t>
      </w:r>
      <w:r w:rsidR="009F24B8" w:rsidRPr="009C0689">
        <w:rPr>
          <w:sz w:val="24"/>
          <w:szCs w:val="24"/>
        </w:rPr>
        <w:t xml:space="preserve"> cambiará significativamente. </w:t>
      </w:r>
    </w:p>
    <w:p w14:paraId="62BD2223" w14:textId="77777777" w:rsidR="00F70013" w:rsidRDefault="009F24B8" w:rsidP="00F70013">
      <w:pPr>
        <w:spacing w:before="120" w:after="120" w:line="276" w:lineRule="auto"/>
        <w:jc w:val="both"/>
        <w:rPr>
          <w:sz w:val="24"/>
          <w:szCs w:val="24"/>
        </w:rPr>
      </w:pPr>
      <w:r w:rsidRPr="009C0689">
        <w:rPr>
          <w:sz w:val="24"/>
          <w:szCs w:val="24"/>
        </w:rPr>
        <w:t xml:space="preserve">El trabajo de campo para </w:t>
      </w:r>
      <w:r w:rsidR="00B10776" w:rsidRPr="009C0689">
        <w:rPr>
          <w:sz w:val="24"/>
          <w:szCs w:val="24"/>
        </w:rPr>
        <w:t>escribir</w:t>
      </w:r>
      <w:r w:rsidRPr="009C0689">
        <w:rPr>
          <w:sz w:val="24"/>
          <w:szCs w:val="24"/>
        </w:rPr>
        <w:t xml:space="preserve"> el presente texto, se realizó durante todo el a</w:t>
      </w:r>
      <w:r w:rsidR="00C31777" w:rsidRPr="009C0689">
        <w:rPr>
          <w:sz w:val="24"/>
          <w:szCs w:val="24"/>
        </w:rPr>
        <w:t>ño 2014, cubrió las 14 zonas donde oper</w:t>
      </w:r>
      <w:r w:rsidR="003C225F">
        <w:rPr>
          <w:sz w:val="24"/>
          <w:szCs w:val="24"/>
        </w:rPr>
        <w:t xml:space="preserve">a la guerrilla de las FARC y </w:t>
      </w:r>
      <w:r w:rsidR="0061063B" w:rsidRPr="009C0689">
        <w:rPr>
          <w:sz w:val="24"/>
          <w:szCs w:val="24"/>
        </w:rPr>
        <w:t>abarca</w:t>
      </w:r>
      <w:r w:rsidR="00C31777" w:rsidRPr="009C0689">
        <w:rPr>
          <w:sz w:val="24"/>
          <w:szCs w:val="24"/>
        </w:rPr>
        <w:t xml:space="preserve"> un total de 242 municipios. Construcción de banco de datos, entrevistas a profundidad y verificación en campo fueron las principales estrategias para construir las hipótesis. A continuación se presentará la información y el </w:t>
      </w:r>
      <w:r w:rsidR="00FC5F25" w:rsidRPr="009C0689">
        <w:rPr>
          <w:sz w:val="24"/>
          <w:szCs w:val="24"/>
        </w:rPr>
        <w:t>análisis a profundidad. El texto se dividirá en 3 partes.</w:t>
      </w:r>
      <w:r w:rsidR="00C31777" w:rsidRPr="009C0689">
        <w:rPr>
          <w:sz w:val="24"/>
          <w:szCs w:val="24"/>
        </w:rPr>
        <w:t xml:space="preserve"> </w:t>
      </w:r>
      <w:r w:rsidR="00FC5F25" w:rsidRPr="009C0689">
        <w:rPr>
          <w:sz w:val="24"/>
          <w:szCs w:val="24"/>
        </w:rPr>
        <w:t xml:space="preserve">La primera abordará los temas de intensidad del conflicto, en una comparación entre los años 2013 y 2014. La segunda se dedicará a un análisis de las treguas ocurridas durante el año 2014, teniendo como punto de comparación las jornadas electorales. </w:t>
      </w:r>
      <w:r w:rsidR="00873F42" w:rsidRPr="009C0689">
        <w:rPr>
          <w:sz w:val="24"/>
          <w:szCs w:val="24"/>
        </w:rPr>
        <w:t xml:space="preserve">Por último se terminará con un análisis de algunos hallazgos sobre la preparación de la guerrilla de las FARC en el postconflicto. </w:t>
      </w:r>
    </w:p>
    <w:p w14:paraId="08BB1E55" w14:textId="0A1E22F9" w:rsidR="00950C74" w:rsidRPr="00F36006" w:rsidRDefault="000E38A3" w:rsidP="00F70013">
      <w:pPr>
        <w:pStyle w:val="Ttulo1"/>
      </w:pPr>
      <w:r>
        <w:rPr>
          <w:b/>
        </w:rPr>
        <w:t>La intensidad de la g</w:t>
      </w:r>
      <w:r w:rsidR="00873F42" w:rsidRPr="00F36006">
        <w:rPr>
          <w:b/>
        </w:rPr>
        <w:t>uerra</w:t>
      </w:r>
      <w:r w:rsidR="00873F42" w:rsidRPr="00F36006">
        <w:t xml:space="preserve">. </w:t>
      </w:r>
    </w:p>
    <w:p w14:paraId="0D8760FF" w14:textId="08E6A447" w:rsidR="00873F42" w:rsidRPr="009C0689" w:rsidRDefault="00F70013" w:rsidP="009C0689">
      <w:pPr>
        <w:spacing w:before="120" w:after="120" w:line="276" w:lineRule="auto"/>
        <w:jc w:val="both"/>
        <w:rPr>
          <w:sz w:val="24"/>
          <w:szCs w:val="24"/>
        </w:rPr>
      </w:pPr>
      <w:r>
        <w:rPr>
          <w:sz w:val="24"/>
          <w:szCs w:val="24"/>
        </w:rPr>
        <w:t xml:space="preserve">En </w:t>
      </w:r>
      <w:r w:rsidR="006B2D98" w:rsidRPr="009C0689">
        <w:rPr>
          <w:sz w:val="24"/>
          <w:szCs w:val="24"/>
        </w:rPr>
        <w:t>los dos últimos años</w:t>
      </w:r>
      <w:r>
        <w:rPr>
          <w:sz w:val="24"/>
          <w:szCs w:val="24"/>
        </w:rPr>
        <w:t xml:space="preserve"> ha habido una gran especulación sobre la seguridad y la situación militar del país</w:t>
      </w:r>
      <w:r w:rsidR="00FB645D" w:rsidRPr="009C0689">
        <w:rPr>
          <w:sz w:val="24"/>
          <w:szCs w:val="24"/>
        </w:rPr>
        <w:t>. Durante las jornadas electorales</w:t>
      </w:r>
      <w:r w:rsidR="006B2D98" w:rsidRPr="009C0689">
        <w:rPr>
          <w:sz w:val="24"/>
          <w:szCs w:val="24"/>
        </w:rPr>
        <w:t xml:space="preserve"> del 2014</w:t>
      </w:r>
      <w:r w:rsidR="00FB645D" w:rsidRPr="009C0689">
        <w:rPr>
          <w:sz w:val="24"/>
          <w:szCs w:val="24"/>
        </w:rPr>
        <w:t xml:space="preserve">, </w:t>
      </w:r>
      <w:r w:rsidR="006B2D98" w:rsidRPr="009C0689">
        <w:rPr>
          <w:sz w:val="24"/>
          <w:szCs w:val="24"/>
        </w:rPr>
        <w:t>se denunció por parte de algunos sectores de la oposición</w:t>
      </w:r>
      <w:r w:rsidR="00FB645D" w:rsidRPr="009C0689">
        <w:rPr>
          <w:sz w:val="24"/>
          <w:szCs w:val="24"/>
        </w:rPr>
        <w:t xml:space="preserve"> un aumento importante</w:t>
      </w:r>
      <w:r w:rsidR="006B2D98" w:rsidRPr="009C0689">
        <w:rPr>
          <w:sz w:val="24"/>
          <w:szCs w:val="24"/>
        </w:rPr>
        <w:t xml:space="preserve"> de accionar de las FARC y una supuesta debilidad del gobierno. Por su lado, el presidente Santos se auto-declaraba el verdugo más importante que han tenido las FARC en toda su historia, ya que durante su mandato cayeron sus comandantes más importantes en diferentes acciones militares.</w:t>
      </w:r>
      <w:r w:rsidR="00FB645D" w:rsidRPr="009C0689">
        <w:rPr>
          <w:sz w:val="24"/>
          <w:szCs w:val="24"/>
        </w:rPr>
        <w:t xml:space="preserve"> </w:t>
      </w:r>
      <w:r w:rsidR="006B2D98" w:rsidRPr="009C0689">
        <w:rPr>
          <w:sz w:val="24"/>
          <w:szCs w:val="24"/>
        </w:rPr>
        <w:t>Sin embargo al realizar un análisis de todo el año 2014, se comprueba una reducción importante el total de accione armadas realizadas por las FARC. Como se ve en el siguiente gráfico se pasó de 20</w:t>
      </w:r>
      <w:r w:rsidR="0061063B" w:rsidRPr="009C0689">
        <w:rPr>
          <w:sz w:val="24"/>
          <w:szCs w:val="24"/>
        </w:rPr>
        <w:t>03 acciones en el año 2013 a 11</w:t>
      </w:r>
      <w:r w:rsidR="006B2D98" w:rsidRPr="009C0689">
        <w:rPr>
          <w:sz w:val="24"/>
          <w:szCs w:val="24"/>
        </w:rPr>
        <w:t xml:space="preserve">86 en el año 2014. De hecho se puede ver una tendencia al descenso desde el año 2012, año en el que se quiebra la tendencia de aumentó que se venía presentando desde el año 2008.  </w:t>
      </w:r>
    </w:p>
    <w:p w14:paraId="2989056C" w14:textId="77777777" w:rsidR="009C0689" w:rsidRPr="009C0689" w:rsidRDefault="009C0689" w:rsidP="009C0689">
      <w:pPr>
        <w:spacing w:before="120" w:after="120" w:line="276" w:lineRule="auto"/>
        <w:jc w:val="center"/>
        <w:rPr>
          <w:b/>
          <w:i/>
          <w:sz w:val="24"/>
          <w:szCs w:val="24"/>
        </w:rPr>
      </w:pPr>
    </w:p>
    <w:p w14:paraId="08A1D881" w14:textId="77777777" w:rsidR="009C0689" w:rsidRPr="009C0689" w:rsidRDefault="009C0689" w:rsidP="009C0689">
      <w:pPr>
        <w:spacing w:before="120" w:after="120" w:line="276" w:lineRule="auto"/>
        <w:jc w:val="center"/>
        <w:rPr>
          <w:b/>
          <w:i/>
          <w:sz w:val="24"/>
          <w:szCs w:val="24"/>
        </w:rPr>
      </w:pPr>
    </w:p>
    <w:p w14:paraId="43FB7F4A" w14:textId="77777777" w:rsidR="009C0689" w:rsidRPr="009C0689" w:rsidRDefault="009C0689" w:rsidP="009C0689">
      <w:pPr>
        <w:spacing w:before="120" w:after="120" w:line="276" w:lineRule="auto"/>
        <w:jc w:val="center"/>
        <w:rPr>
          <w:b/>
          <w:i/>
          <w:sz w:val="24"/>
          <w:szCs w:val="24"/>
        </w:rPr>
      </w:pPr>
    </w:p>
    <w:p w14:paraId="224F1D17" w14:textId="77777777" w:rsidR="009C0689" w:rsidRPr="009C0689" w:rsidRDefault="009C0689" w:rsidP="009C0689">
      <w:pPr>
        <w:spacing w:before="120" w:after="120" w:line="276" w:lineRule="auto"/>
        <w:jc w:val="center"/>
        <w:rPr>
          <w:b/>
          <w:i/>
          <w:sz w:val="24"/>
          <w:szCs w:val="24"/>
        </w:rPr>
      </w:pPr>
    </w:p>
    <w:p w14:paraId="501BC1B6" w14:textId="77777777" w:rsidR="009C0689" w:rsidRPr="009C0689" w:rsidRDefault="009C0689" w:rsidP="009C0689">
      <w:pPr>
        <w:spacing w:before="120" w:after="120" w:line="276" w:lineRule="auto"/>
        <w:jc w:val="center"/>
        <w:rPr>
          <w:b/>
          <w:i/>
          <w:sz w:val="24"/>
          <w:szCs w:val="24"/>
        </w:rPr>
      </w:pPr>
    </w:p>
    <w:p w14:paraId="53E35276" w14:textId="77777777" w:rsidR="009C0689" w:rsidRPr="009C0689" w:rsidRDefault="009C0689" w:rsidP="009C0689">
      <w:pPr>
        <w:spacing w:before="120" w:after="120" w:line="276" w:lineRule="auto"/>
        <w:jc w:val="center"/>
        <w:rPr>
          <w:b/>
          <w:i/>
          <w:sz w:val="24"/>
          <w:szCs w:val="24"/>
        </w:rPr>
      </w:pPr>
    </w:p>
    <w:p w14:paraId="52DF4F8F" w14:textId="77777777" w:rsidR="009C0689" w:rsidRPr="009C0689" w:rsidRDefault="009C0689" w:rsidP="009C0689">
      <w:pPr>
        <w:spacing w:before="120" w:after="120" w:line="276" w:lineRule="auto"/>
        <w:jc w:val="center"/>
        <w:rPr>
          <w:b/>
          <w:i/>
          <w:sz w:val="24"/>
          <w:szCs w:val="24"/>
        </w:rPr>
      </w:pPr>
    </w:p>
    <w:p w14:paraId="17BC3C08" w14:textId="41D528BF" w:rsidR="009C0689" w:rsidRPr="009C0689" w:rsidRDefault="009C0689" w:rsidP="009C0689">
      <w:pPr>
        <w:spacing w:before="120" w:after="120" w:line="276" w:lineRule="auto"/>
        <w:jc w:val="center"/>
        <w:rPr>
          <w:b/>
          <w:i/>
          <w:sz w:val="24"/>
          <w:szCs w:val="24"/>
        </w:rPr>
      </w:pPr>
      <w:r w:rsidRPr="009C0689">
        <w:rPr>
          <w:b/>
          <w:i/>
          <w:sz w:val="24"/>
          <w:szCs w:val="24"/>
        </w:rPr>
        <w:t>Acciones Armadas de las FARC. 1997-2014.</w:t>
      </w:r>
    </w:p>
    <w:p w14:paraId="1DA0E05E" w14:textId="77777777" w:rsidR="00873F42" w:rsidRPr="009C0689" w:rsidRDefault="00873F42" w:rsidP="009C0689">
      <w:pPr>
        <w:spacing w:before="120" w:after="120" w:line="276" w:lineRule="auto"/>
        <w:jc w:val="both"/>
        <w:rPr>
          <w:sz w:val="24"/>
          <w:szCs w:val="24"/>
        </w:rPr>
      </w:pPr>
      <w:r w:rsidRPr="009C0689">
        <w:rPr>
          <w:noProof/>
          <w:sz w:val="24"/>
          <w:szCs w:val="24"/>
          <w:lang w:eastAsia="es-CO"/>
        </w:rPr>
        <w:drawing>
          <wp:inline distT="0" distB="0" distL="0" distR="0" wp14:anchorId="77F815E4" wp14:editId="3EB0EDEE">
            <wp:extent cx="5596359" cy="2598420"/>
            <wp:effectExtent l="0" t="0" r="4445" b="1143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BFC00DB" w14:textId="1E4E12E4" w:rsidR="009C0689" w:rsidRPr="009C0689" w:rsidRDefault="009C0689" w:rsidP="009C0689">
      <w:pPr>
        <w:spacing w:before="120" w:after="120" w:line="276" w:lineRule="auto"/>
        <w:jc w:val="both"/>
        <w:rPr>
          <w:sz w:val="24"/>
          <w:szCs w:val="24"/>
        </w:rPr>
      </w:pPr>
      <w:r w:rsidRPr="009C0689">
        <w:rPr>
          <w:sz w:val="24"/>
          <w:szCs w:val="24"/>
        </w:rPr>
        <w:t xml:space="preserve">Fundación Paz y reconciliación. Banco de datos. </w:t>
      </w:r>
    </w:p>
    <w:p w14:paraId="3EF2B516" w14:textId="188A2FBA" w:rsidR="006B2D98" w:rsidRPr="009C0689" w:rsidRDefault="00F70013" w:rsidP="009C0689">
      <w:pPr>
        <w:spacing w:before="120" w:after="120" w:line="276" w:lineRule="auto"/>
        <w:jc w:val="both"/>
        <w:rPr>
          <w:sz w:val="24"/>
          <w:szCs w:val="24"/>
        </w:rPr>
      </w:pPr>
      <w:r>
        <w:rPr>
          <w:sz w:val="24"/>
          <w:szCs w:val="24"/>
        </w:rPr>
        <w:t>La</w:t>
      </w:r>
      <w:r w:rsidR="006B2D98" w:rsidRPr="009C0689">
        <w:rPr>
          <w:sz w:val="24"/>
          <w:szCs w:val="24"/>
        </w:rPr>
        <w:t xml:space="preserve"> reducción de las</w:t>
      </w:r>
      <w:r>
        <w:rPr>
          <w:sz w:val="24"/>
          <w:szCs w:val="24"/>
        </w:rPr>
        <w:t xml:space="preserve"> acciones de las FARC tiene tres explicaciones</w:t>
      </w:r>
      <w:r w:rsidR="006B2D98" w:rsidRPr="009C0689">
        <w:rPr>
          <w:sz w:val="24"/>
          <w:szCs w:val="24"/>
        </w:rPr>
        <w:t xml:space="preserve">. Por un </w:t>
      </w:r>
      <w:r w:rsidR="00D26CBD">
        <w:rPr>
          <w:sz w:val="24"/>
          <w:szCs w:val="24"/>
        </w:rPr>
        <w:t xml:space="preserve">lado, las Fuerzas Militares </w:t>
      </w:r>
      <w:r w:rsidR="006B2D98" w:rsidRPr="009C0689">
        <w:rPr>
          <w:sz w:val="24"/>
          <w:szCs w:val="24"/>
        </w:rPr>
        <w:t>manifiesta</w:t>
      </w:r>
      <w:r>
        <w:rPr>
          <w:sz w:val="24"/>
          <w:szCs w:val="24"/>
        </w:rPr>
        <w:t>n</w:t>
      </w:r>
      <w:r w:rsidR="006B2D98" w:rsidRPr="009C0689">
        <w:rPr>
          <w:sz w:val="24"/>
          <w:szCs w:val="24"/>
        </w:rPr>
        <w:t xml:space="preserve"> </w:t>
      </w:r>
      <w:r w:rsidR="006C2819" w:rsidRPr="009C0689">
        <w:rPr>
          <w:sz w:val="24"/>
          <w:szCs w:val="24"/>
        </w:rPr>
        <w:t>que e</w:t>
      </w:r>
      <w:r>
        <w:rPr>
          <w:sz w:val="24"/>
          <w:szCs w:val="24"/>
        </w:rPr>
        <w:t>sto es producto de una pérdida</w:t>
      </w:r>
      <w:r w:rsidR="006C2819" w:rsidRPr="009C0689">
        <w:rPr>
          <w:sz w:val="24"/>
          <w:szCs w:val="24"/>
        </w:rPr>
        <w:t xml:space="preserve"> de la capacidad operativa de las FARC, es d</w:t>
      </w:r>
      <w:r w:rsidR="00681ECB" w:rsidRPr="009C0689">
        <w:rPr>
          <w:sz w:val="24"/>
          <w:szCs w:val="24"/>
        </w:rPr>
        <w:t>ecir, no hacen más acciones por</w:t>
      </w:r>
      <w:r w:rsidR="006C2819" w:rsidRPr="009C0689">
        <w:rPr>
          <w:sz w:val="24"/>
          <w:szCs w:val="24"/>
        </w:rPr>
        <w:t>que no pueden</w:t>
      </w:r>
      <w:r w:rsidR="00681ECB" w:rsidRPr="009C0689">
        <w:rPr>
          <w:sz w:val="24"/>
          <w:szCs w:val="24"/>
        </w:rPr>
        <w:t>,</w:t>
      </w:r>
      <w:r w:rsidR="006C2819" w:rsidRPr="009C0689">
        <w:rPr>
          <w:sz w:val="24"/>
          <w:szCs w:val="24"/>
        </w:rPr>
        <w:t xml:space="preserve"> debido a los constantes golpes que le propina la fuerza pública. Por el c</w:t>
      </w:r>
      <w:r w:rsidR="00681ECB" w:rsidRPr="009C0689">
        <w:rPr>
          <w:sz w:val="24"/>
          <w:szCs w:val="24"/>
        </w:rPr>
        <w:t>ontrar</w:t>
      </w:r>
      <w:r w:rsidR="00D26CBD">
        <w:rPr>
          <w:sz w:val="24"/>
          <w:szCs w:val="24"/>
        </w:rPr>
        <w:t xml:space="preserve">io las propias FARC y algunos analistas </w:t>
      </w:r>
      <w:r w:rsidR="00681ECB" w:rsidRPr="009C0689">
        <w:rPr>
          <w:sz w:val="24"/>
          <w:szCs w:val="24"/>
        </w:rPr>
        <w:t xml:space="preserve"> le ha</w:t>
      </w:r>
      <w:r w:rsidR="00D26CBD">
        <w:rPr>
          <w:sz w:val="24"/>
          <w:szCs w:val="24"/>
        </w:rPr>
        <w:t>n</w:t>
      </w:r>
      <w:r w:rsidR="00681ECB" w:rsidRPr="009C0689">
        <w:rPr>
          <w:sz w:val="24"/>
          <w:szCs w:val="24"/>
        </w:rPr>
        <w:t xml:space="preserve"> adjudicado esta redu</w:t>
      </w:r>
      <w:r w:rsidR="00D26CBD">
        <w:rPr>
          <w:sz w:val="24"/>
          <w:szCs w:val="24"/>
        </w:rPr>
        <w:t>cción a una voluntad de la guerrilla en medio de las negociaciones,</w:t>
      </w:r>
      <w:r w:rsidR="00681ECB" w:rsidRPr="009C0689">
        <w:rPr>
          <w:sz w:val="24"/>
          <w:szCs w:val="24"/>
        </w:rPr>
        <w:t xml:space="preserve"> es decir, han comenzado a dosificar su accionar militar. Un último argumento, manifiesta que esta reducción de las acciones hace parte de un cambio táctico militar, donde se privilegian acciones contra la infraestructura petrolera o energética, y no se combate para preservar la tropa.      </w:t>
      </w:r>
    </w:p>
    <w:p w14:paraId="0F006018" w14:textId="487B7C61" w:rsidR="00481D21" w:rsidRPr="009C0689" w:rsidRDefault="00681ECB" w:rsidP="009C0689">
      <w:pPr>
        <w:spacing w:before="120" w:after="120" w:line="276" w:lineRule="auto"/>
        <w:jc w:val="both"/>
        <w:rPr>
          <w:sz w:val="24"/>
          <w:szCs w:val="24"/>
        </w:rPr>
      </w:pPr>
      <w:r w:rsidRPr="009C0689">
        <w:rPr>
          <w:sz w:val="24"/>
          <w:szCs w:val="24"/>
        </w:rPr>
        <w:t xml:space="preserve">La Fundación paz y reconciliación en </w:t>
      </w:r>
      <w:r w:rsidR="00D24C41" w:rsidRPr="009C0689">
        <w:rPr>
          <w:sz w:val="24"/>
          <w:szCs w:val="24"/>
        </w:rPr>
        <w:t>todo caso encontró lo siguiente. Por un lado, en algunas regiones del país</w:t>
      </w:r>
      <w:r w:rsidR="00F70013">
        <w:rPr>
          <w:sz w:val="24"/>
          <w:szCs w:val="24"/>
        </w:rPr>
        <w:t>, fue notoria la disminución de la operatividad</w:t>
      </w:r>
      <w:r w:rsidR="00D26CBD">
        <w:rPr>
          <w:sz w:val="24"/>
          <w:szCs w:val="24"/>
        </w:rPr>
        <w:t xml:space="preserve"> de varias</w:t>
      </w:r>
      <w:r w:rsidR="00D24C41" w:rsidRPr="009C0689">
        <w:rPr>
          <w:sz w:val="24"/>
          <w:szCs w:val="24"/>
        </w:rPr>
        <w:t xml:space="preserve"> estructuras guerrilleras, por ejemplo en el departamento </w:t>
      </w:r>
      <w:r w:rsidR="008A17DA" w:rsidRPr="009C0689">
        <w:rPr>
          <w:sz w:val="24"/>
          <w:szCs w:val="24"/>
        </w:rPr>
        <w:t>del C</w:t>
      </w:r>
      <w:r w:rsidR="00D24C41" w:rsidRPr="009C0689">
        <w:rPr>
          <w:sz w:val="24"/>
          <w:szCs w:val="24"/>
        </w:rPr>
        <w:t>auca el frente 6 y la columna móvil Jacobo Arenas</w:t>
      </w:r>
      <w:r w:rsidR="00F70013">
        <w:rPr>
          <w:sz w:val="24"/>
          <w:szCs w:val="24"/>
        </w:rPr>
        <w:t>,</w:t>
      </w:r>
      <w:r w:rsidR="00D24C41" w:rsidRPr="009C0689">
        <w:rPr>
          <w:sz w:val="24"/>
          <w:szCs w:val="24"/>
        </w:rPr>
        <w:t xml:space="preserve"> redujeron drásticamente sus acciones, lo cual es una tendencia desde 2013. Si bien no se puede hablar de una perdida </w:t>
      </w:r>
      <w:r w:rsidR="008A17DA" w:rsidRPr="009C0689">
        <w:rPr>
          <w:sz w:val="24"/>
          <w:szCs w:val="24"/>
        </w:rPr>
        <w:t>d</w:t>
      </w:r>
      <w:r w:rsidR="00D24C41" w:rsidRPr="009C0689">
        <w:rPr>
          <w:sz w:val="24"/>
          <w:szCs w:val="24"/>
        </w:rPr>
        <w:t>e hombre</w:t>
      </w:r>
      <w:r w:rsidR="0061063B" w:rsidRPr="009C0689">
        <w:rPr>
          <w:sz w:val="24"/>
          <w:szCs w:val="24"/>
        </w:rPr>
        <w:t>s</w:t>
      </w:r>
      <w:r w:rsidR="00D24C41" w:rsidRPr="009C0689">
        <w:rPr>
          <w:sz w:val="24"/>
          <w:szCs w:val="24"/>
        </w:rPr>
        <w:t xml:space="preserve"> en las filas de las FARC, la instalación del Batallón de T</w:t>
      </w:r>
      <w:r w:rsidR="008A17DA" w:rsidRPr="009C0689">
        <w:rPr>
          <w:sz w:val="24"/>
          <w:szCs w:val="24"/>
        </w:rPr>
        <w:t>acueyó</w:t>
      </w:r>
      <w:r w:rsidR="000C3D89">
        <w:rPr>
          <w:sz w:val="24"/>
          <w:szCs w:val="24"/>
        </w:rPr>
        <w:t xml:space="preserve"> puso un freno a la</w:t>
      </w:r>
      <w:r w:rsidR="00D24C41" w:rsidRPr="009C0689">
        <w:rPr>
          <w:sz w:val="24"/>
          <w:szCs w:val="24"/>
        </w:rPr>
        <w:t xml:space="preserve"> capacidad operativa en esta región del país. Sin embargo en zonas, como el Meta y el Guaviare</w:t>
      </w:r>
      <w:r w:rsidR="000C3D89">
        <w:rPr>
          <w:sz w:val="24"/>
          <w:szCs w:val="24"/>
        </w:rPr>
        <w:t>,</w:t>
      </w:r>
      <w:r w:rsidR="008A17DA" w:rsidRPr="009C0689">
        <w:rPr>
          <w:sz w:val="24"/>
          <w:szCs w:val="24"/>
        </w:rPr>
        <w:t xml:space="preserve"> después de una reducción drástica de acciones armadas en 2012 y 2013, nuevamente aumentaron para el año 2014. </w:t>
      </w:r>
      <w:r w:rsidR="00D24C41" w:rsidRPr="009C0689">
        <w:rPr>
          <w:sz w:val="24"/>
          <w:szCs w:val="24"/>
        </w:rPr>
        <w:t xml:space="preserve">  </w:t>
      </w:r>
    </w:p>
    <w:p w14:paraId="7D750107" w14:textId="357A6006" w:rsidR="008A17DA" w:rsidRPr="009C0689" w:rsidRDefault="008A17DA" w:rsidP="009C0689">
      <w:pPr>
        <w:spacing w:before="120" w:after="120" w:line="276" w:lineRule="auto"/>
        <w:jc w:val="both"/>
        <w:rPr>
          <w:sz w:val="24"/>
          <w:szCs w:val="24"/>
        </w:rPr>
      </w:pPr>
      <w:r w:rsidRPr="009C0689">
        <w:rPr>
          <w:sz w:val="24"/>
          <w:szCs w:val="24"/>
        </w:rPr>
        <w:t xml:space="preserve">Esto significa que </w:t>
      </w:r>
      <w:r w:rsidR="00481D21" w:rsidRPr="009C0689">
        <w:rPr>
          <w:sz w:val="24"/>
          <w:szCs w:val="24"/>
        </w:rPr>
        <w:t>la reducción de la capacidad oper</w:t>
      </w:r>
      <w:r w:rsidR="009424C7">
        <w:rPr>
          <w:sz w:val="24"/>
          <w:szCs w:val="24"/>
        </w:rPr>
        <w:t xml:space="preserve">ativa de las FARC </w:t>
      </w:r>
      <w:r w:rsidR="00481D21" w:rsidRPr="009C0689">
        <w:rPr>
          <w:sz w:val="24"/>
          <w:szCs w:val="24"/>
        </w:rPr>
        <w:t xml:space="preserve">se debe analizar regionalmente, ya que la tendencia no es similar en todos los territorios. Como lo muestra la siguiente gráfica las estructuras de las FARC que tuvieron </w:t>
      </w:r>
      <w:r w:rsidR="009424C7">
        <w:rPr>
          <w:sz w:val="24"/>
          <w:szCs w:val="24"/>
        </w:rPr>
        <w:t>mayores operaciones</w:t>
      </w:r>
      <w:r w:rsidR="0061063B" w:rsidRPr="009C0689">
        <w:rPr>
          <w:sz w:val="24"/>
          <w:szCs w:val="24"/>
        </w:rPr>
        <w:t xml:space="preserve"> fue</w:t>
      </w:r>
      <w:r w:rsidR="009424C7">
        <w:rPr>
          <w:sz w:val="24"/>
          <w:szCs w:val="24"/>
        </w:rPr>
        <w:t>ron</w:t>
      </w:r>
      <w:r w:rsidR="00481D21" w:rsidRPr="009C0689">
        <w:rPr>
          <w:sz w:val="24"/>
          <w:szCs w:val="24"/>
        </w:rPr>
        <w:t xml:space="preserve"> el </w:t>
      </w:r>
      <w:r w:rsidR="009424C7">
        <w:rPr>
          <w:sz w:val="24"/>
          <w:szCs w:val="24"/>
        </w:rPr>
        <w:t>Bloque Jorge Bric</w:t>
      </w:r>
      <w:r w:rsidR="00481D21" w:rsidRPr="009C0689">
        <w:rPr>
          <w:sz w:val="24"/>
          <w:szCs w:val="24"/>
        </w:rPr>
        <w:t xml:space="preserve">eño, antiguo </w:t>
      </w:r>
      <w:r w:rsidR="0061063B" w:rsidRPr="009C0689">
        <w:rPr>
          <w:sz w:val="24"/>
          <w:szCs w:val="24"/>
        </w:rPr>
        <w:t>Bloque O</w:t>
      </w:r>
      <w:r w:rsidR="00481D21" w:rsidRPr="009C0689">
        <w:rPr>
          <w:sz w:val="24"/>
          <w:szCs w:val="24"/>
        </w:rPr>
        <w:t>riental, que opera en el sur oriente del país, igualmente el Bloque Alfonso Cano o a</w:t>
      </w:r>
      <w:r w:rsidR="0061063B" w:rsidRPr="009C0689">
        <w:rPr>
          <w:sz w:val="24"/>
          <w:szCs w:val="24"/>
        </w:rPr>
        <w:t>ntiguamente denominado Comando Conjunto de O</w:t>
      </w:r>
      <w:r w:rsidR="00481D21" w:rsidRPr="009C0689">
        <w:rPr>
          <w:sz w:val="24"/>
          <w:szCs w:val="24"/>
        </w:rPr>
        <w:t xml:space="preserve">ccidente que opera en el sur oriente del país también tuvo una alta intensidad operativa. </w:t>
      </w:r>
    </w:p>
    <w:p w14:paraId="34377B7D" w14:textId="2E1F36D8" w:rsidR="009C0689" w:rsidRPr="009C0689" w:rsidRDefault="009C0689" w:rsidP="009C0689">
      <w:pPr>
        <w:spacing w:before="120" w:after="120" w:line="276" w:lineRule="auto"/>
        <w:jc w:val="center"/>
        <w:rPr>
          <w:b/>
          <w:sz w:val="24"/>
          <w:szCs w:val="24"/>
        </w:rPr>
      </w:pPr>
      <w:r w:rsidRPr="009C0689">
        <w:rPr>
          <w:b/>
          <w:sz w:val="24"/>
          <w:szCs w:val="24"/>
        </w:rPr>
        <w:t>Acciones armadas de las FARC. Discriminada por Bloques y evolución mensual. 2014.</w:t>
      </w:r>
    </w:p>
    <w:p w14:paraId="0019F2AD" w14:textId="5DB6C316" w:rsidR="006B2D98" w:rsidRPr="009C0689" w:rsidRDefault="00681ECB" w:rsidP="009C0689">
      <w:pPr>
        <w:spacing w:before="120" w:after="120" w:line="276" w:lineRule="auto"/>
        <w:jc w:val="both"/>
        <w:rPr>
          <w:sz w:val="24"/>
          <w:szCs w:val="24"/>
        </w:rPr>
      </w:pPr>
      <w:r w:rsidRPr="009C0689">
        <w:rPr>
          <w:noProof/>
          <w:sz w:val="24"/>
          <w:szCs w:val="24"/>
          <w:lang w:eastAsia="es-CO"/>
        </w:rPr>
        <w:drawing>
          <wp:inline distT="0" distB="0" distL="0" distR="0" wp14:anchorId="47670EF7" wp14:editId="10F3A499">
            <wp:extent cx="6122670" cy="3790709"/>
            <wp:effectExtent l="0" t="0" r="11430" b="63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A1AEE5" w14:textId="65698034" w:rsidR="009C0689" w:rsidRPr="009C0689" w:rsidRDefault="009C0689" w:rsidP="009C0689">
      <w:pPr>
        <w:spacing w:before="120" w:after="120" w:line="276" w:lineRule="auto"/>
        <w:jc w:val="both"/>
        <w:rPr>
          <w:sz w:val="24"/>
          <w:szCs w:val="24"/>
        </w:rPr>
      </w:pPr>
      <w:r w:rsidRPr="009C0689">
        <w:rPr>
          <w:sz w:val="24"/>
          <w:szCs w:val="24"/>
        </w:rPr>
        <w:t xml:space="preserve">Fundación Paz y reconciliación. Banco de datos. </w:t>
      </w:r>
    </w:p>
    <w:p w14:paraId="7E7F769D" w14:textId="7C5EAF4B" w:rsidR="006B2D98" w:rsidRPr="009C0689" w:rsidRDefault="00D26CBD" w:rsidP="009C0689">
      <w:pPr>
        <w:spacing w:before="120" w:after="120" w:line="276" w:lineRule="auto"/>
        <w:jc w:val="both"/>
        <w:rPr>
          <w:sz w:val="24"/>
          <w:szCs w:val="24"/>
        </w:rPr>
      </w:pPr>
      <w:r>
        <w:rPr>
          <w:sz w:val="24"/>
          <w:szCs w:val="24"/>
        </w:rPr>
        <w:t xml:space="preserve">Algo </w:t>
      </w:r>
      <w:r w:rsidR="00481D21" w:rsidRPr="009C0689">
        <w:rPr>
          <w:sz w:val="24"/>
          <w:szCs w:val="24"/>
        </w:rPr>
        <w:t xml:space="preserve"> concluyente es que durante los días de las treguas las acciones armadas se redujeron significativamente, solo</w:t>
      </w:r>
      <w:r w:rsidR="00661391" w:rsidRPr="009C0689">
        <w:rPr>
          <w:sz w:val="24"/>
          <w:szCs w:val="24"/>
        </w:rPr>
        <w:t xml:space="preserve"> en</w:t>
      </w:r>
      <w:r w:rsidR="00481D21" w:rsidRPr="009C0689">
        <w:rPr>
          <w:sz w:val="24"/>
          <w:szCs w:val="24"/>
        </w:rPr>
        <w:t xml:space="preserve"> los días posteriores a las treguas fue notoria la intensific</w:t>
      </w:r>
      <w:r w:rsidR="0061063B" w:rsidRPr="009C0689">
        <w:rPr>
          <w:sz w:val="24"/>
          <w:szCs w:val="24"/>
        </w:rPr>
        <w:t>ación de la operatividad armada, como ocurrió en los meses de f</w:t>
      </w:r>
      <w:r w:rsidR="003960AE" w:rsidRPr="009C0689">
        <w:rPr>
          <w:sz w:val="24"/>
          <w:szCs w:val="24"/>
        </w:rPr>
        <w:t>ebrero y julio de 2014</w:t>
      </w:r>
      <w:r w:rsidR="00661391" w:rsidRPr="009C0689">
        <w:rPr>
          <w:sz w:val="24"/>
          <w:szCs w:val="24"/>
        </w:rPr>
        <w:t>.</w:t>
      </w:r>
      <w:r w:rsidR="00481D21" w:rsidRPr="009C0689">
        <w:rPr>
          <w:sz w:val="24"/>
          <w:szCs w:val="24"/>
        </w:rPr>
        <w:t xml:space="preserve">  </w:t>
      </w:r>
      <w:r w:rsidR="0061063B" w:rsidRPr="009C0689">
        <w:rPr>
          <w:sz w:val="24"/>
          <w:szCs w:val="24"/>
        </w:rPr>
        <w:t xml:space="preserve">La siguiente gráfica muestra dicho comportamiento. </w:t>
      </w:r>
    </w:p>
    <w:p w14:paraId="7E87B543" w14:textId="77777777" w:rsidR="009C0689" w:rsidRPr="009C0689" w:rsidRDefault="009C0689" w:rsidP="009C0689">
      <w:pPr>
        <w:spacing w:before="120" w:after="120" w:line="276" w:lineRule="auto"/>
        <w:jc w:val="both"/>
        <w:rPr>
          <w:sz w:val="24"/>
          <w:szCs w:val="24"/>
        </w:rPr>
      </w:pPr>
    </w:p>
    <w:p w14:paraId="3741BF68" w14:textId="77777777" w:rsidR="009C0689" w:rsidRPr="009C0689" w:rsidRDefault="009C0689" w:rsidP="009C0689">
      <w:pPr>
        <w:spacing w:before="120" w:after="120" w:line="276" w:lineRule="auto"/>
        <w:jc w:val="both"/>
        <w:rPr>
          <w:sz w:val="24"/>
          <w:szCs w:val="24"/>
        </w:rPr>
      </w:pPr>
    </w:p>
    <w:p w14:paraId="7058BA31" w14:textId="77777777" w:rsidR="009C0689" w:rsidRPr="009C0689" w:rsidRDefault="009C0689" w:rsidP="009C0689">
      <w:pPr>
        <w:spacing w:before="120" w:after="120" w:line="276" w:lineRule="auto"/>
        <w:jc w:val="both"/>
        <w:rPr>
          <w:sz w:val="24"/>
          <w:szCs w:val="24"/>
        </w:rPr>
      </w:pPr>
    </w:p>
    <w:p w14:paraId="16EBD999" w14:textId="77777777" w:rsidR="009C0689" w:rsidRPr="009C0689" w:rsidRDefault="009C0689" w:rsidP="009C0689">
      <w:pPr>
        <w:spacing w:before="120" w:after="120" w:line="276" w:lineRule="auto"/>
        <w:jc w:val="both"/>
        <w:rPr>
          <w:sz w:val="24"/>
          <w:szCs w:val="24"/>
        </w:rPr>
      </w:pPr>
    </w:p>
    <w:p w14:paraId="7107765B" w14:textId="77777777" w:rsidR="009C0689" w:rsidRPr="009C0689" w:rsidRDefault="009C0689" w:rsidP="009C0689">
      <w:pPr>
        <w:spacing w:before="120" w:after="120" w:line="276" w:lineRule="auto"/>
        <w:jc w:val="both"/>
        <w:rPr>
          <w:sz w:val="24"/>
          <w:szCs w:val="24"/>
        </w:rPr>
      </w:pPr>
    </w:p>
    <w:p w14:paraId="46546E9B" w14:textId="77777777" w:rsidR="009C0689" w:rsidRPr="009C0689" w:rsidRDefault="009C0689" w:rsidP="009C0689">
      <w:pPr>
        <w:spacing w:before="120" w:after="120" w:line="276" w:lineRule="auto"/>
        <w:jc w:val="both"/>
        <w:rPr>
          <w:sz w:val="24"/>
          <w:szCs w:val="24"/>
        </w:rPr>
      </w:pPr>
    </w:p>
    <w:p w14:paraId="3023F95D" w14:textId="77777777" w:rsidR="009C0689" w:rsidRPr="009C0689" w:rsidRDefault="009C0689" w:rsidP="009C0689">
      <w:pPr>
        <w:spacing w:before="120" w:after="120" w:line="276" w:lineRule="auto"/>
        <w:jc w:val="both"/>
        <w:rPr>
          <w:sz w:val="24"/>
          <w:szCs w:val="24"/>
        </w:rPr>
      </w:pPr>
    </w:p>
    <w:p w14:paraId="6F224271" w14:textId="77777777" w:rsidR="009C0689" w:rsidRPr="009C0689" w:rsidRDefault="009C0689" w:rsidP="009C0689">
      <w:pPr>
        <w:spacing w:before="120" w:after="120" w:line="276" w:lineRule="auto"/>
        <w:jc w:val="both"/>
        <w:rPr>
          <w:sz w:val="24"/>
          <w:szCs w:val="24"/>
        </w:rPr>
      </w:pPr>
    </w:p>
    <w:p w14:paraId="315AF100" w14:textId="35986684" w:rsidR="009C0689" w:rsidRPr="009C0689" w:rsidRDefault="009C0689" w:rsidP="009C0689">
      <w:pPr>
        <w:spacing w:before="120" w:after="120" w:line="276" w:lineRule="auto"/>
        <w:jc w:val="center"/>
        <w:rPr>
          <w:b/>
          <w:sz w:val="24"/>
          <w:szCs w:val="24"/>
        </w:rPr>
      </w:pPr>
      <w:r w:rsidRPr="009C0689">
        <w:rPr>
          <w:b/>
          <w:sz w:val="24"/>
          <w:szCs w:val="24"/>
        </w:rPr>
        <w:t>Evolución mensual de la actividad armada de las FARC. 2014.</w:t>
      </w:r>
    </w:p>
    <w:p w14:paraId="7AF665D6" w14:textId="3F07B1E9" w:rsidR="006B2D98" w:rsidRPr="009C0689" w:rsidRDefault="00481D21" w:rsidP="009C0689">
      <w:pPr>
        <w:spacing w:before="120" w:after="120" w:line="276" w:lineRule="auto"/>
        <w:jc w:val="center"/>
        <w:rPr>
          <w:sz w:val="24"/>
          <w:szCs w:val="24"/>
        </w:rPr>
      </w:pPr>
      <w:r w:rsidRPr="009C0689">
        <w:rPr>
          <w:noProof/>
          <w:sz w:val="24"/>
          <w:szCs w:val="24"/>
          <w:lang w:eastAsia="es-CO"/>
        </w:rPr>
        <w:drawing>
          <wp:inline distT="0" distB="0" distL="0" distR="0" wp14:anchorId="254108CB" wp14:editId="1F6FD7EB">
            <wp:extent cx="4572000" cy="27432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D7FA59" w14:textId="0D0196F3" w:rsidR="009C0689" w:rsidRPr="009C0689" w:rsidRDefault="009C0689" w:rsidP="009C0689">
      <w:pPr>
        <w:spacing w:before="120" w:after="120" w:line="276" w:lineRule="auto"/>
        <w:jc w:val="both"/>
        <w:rPr>
          <w:sz w:val="24"/>
          <w:szCs w:val="24"/>
        </w:rPr>
      </w:pPr>
      <w:r w:rsidRPr="009C0689">
        <w:rPr>
          <w:sz w:val="24"/>
          <w:szCs w:val="24"/>
        </w:rPr>
        <w:t xml:space="preserve">               Fundación Paz y reconciliación. Banco de datos    </w:t>
      </w:r>
    </w:p>
    <w:p w14:paraId="57BCB2FE" w14:textId="339A524E" w:rsidR="003960AE" w:rsidRPr="009C0689" w:rsidRDefault="00661391" w:rsidP="009C0689">
      <w:pPr>
        <w:spacing w:before="120" w:after="120" w:line="276" w:lineRule="auto"/>
        <w:jc w:val="both"/>
        <w:rPr>
          <w:sz w:val="24"/>
          <w:szCs w:val="24"/>
          <w:shd w:val="clear" w:color="auto" w:fill="FFFFFF"/>
        </w:rPr>
      </w:pPr>
      <w:r w:rsidRPr="009C0689">
        <w:rPr>
          <w:sz w:val="24"/>
          <w:szCs w:val="24"/>
        </w:rPr>
        <w:t>Cómo se recuerda, el año 2014 arrancó con una tregua que se había puesto en marcha desde los últimos días de diciembre de 2013 y se prolongó hasta</w:t>
      </w:r>
      <w:r w:rsidR="00D165F7">
        <w:rPr>
          <w:sz w:val="24"/>
          <w:szCs w:val="24"/>
        </w:rPr>
        <w:t xml:space="preserve"> los primeros días del año 2014. U</w:t>
      </w:r>
      <w:r w:rsidRPr="009C0689">
        <w:rPr>
          <w:sz w:val="24"/>
          <w:szCs w:val="24"/>
        </w:rPr>
        <w:t>na vez la tregua termina, el 15 de enero, las FAR</w:t>
      </w:r>
      <w:r w:rsidR="00D165F7">
        <w:rPr>
          <w:sz w:val="24"/>
          <w:szCs w:val="24"/>
        </w:rPr>
        <w:t xml:space="preserve">C lanzaron una fuerte ofensiva </w:t>
      </w:r>
      <w:r w:rsidRPr="009C0689">
        <w:rPr>
          <w:sz w:val="24"/>
          <w:szCs w:val="24"/>
        </w:rPr>
        <w:t>que llevó a que en solo 15 días se realizar</w:t>
      </w:r>
      <w:r w:rsidR="00D165F7">
        <w:rPr>
          <w:sz w:val="24"/>
          <w:szCs w:val="24"/>
        </w:rPr>
        <w:t>an más de 100 acciones</w:t>
      </w:r>
      <w:r w:rsidR="00AE73C2" w:rsidRPr="009C0689">
        <w:rPr>
          <w:sz w:val="24"/>
          <w:szCs w:val="24"/>
        </w:rPr>
        <w:t>. Igualme</w:t>
      </w:r>
      <w:r w:rsidR="00D165F7">
        <w:rPr>
          <w:sz w:val="24"/>
          <w:szCs w:val="24"/>
        </w:rPr>
        <w:t>nte durante el mes de febrero se</w:t>
      </w:r>
      <w:r w:rsidR="00AE73C2" w:rsidRPr="009C0689">
        <w:rPr>
          <w:sz w:val="24"/>
          <w:szCs w:val="24"/>
        </w:rPr>
        <w:t xml:space="preserve"> vivió una actividad militar importante aunque menos intensa que en el año 2013.</w:t>
      </w:r>
      <w:r w:rsidR="00AA671A">
        <w:rPr>
          <w:sz w:val="24"/>
          <w:szCs w:val="24"/>
        </w:rPr>
        <w:t xml:space="preserve"> De hecho, el diario El Tiempo </w:t>
      </w:r>
      <w:r w:rsidR="00AE73C2" w:rsidRPr="009C0689">
        <w:rPr>
          <w:sz w:val="24"/>
          <w:szCs w:val="24"/>
        </w:rPr>
        <w:t xml:space="preserve">en una editorial manifestó los siguientes sobre los constante atentados de las FARC en el Putumayo. </w:t>
      </w:r>
      <w:r w:rsidR="00AE73C2" w:rsidRPr="009C0689">
        <w:rPr>
          <w:sz w:val="24"/>
          <w:szCs w:val="24"/>
          <w:shd w:val="clear" w:color="auto" w:fill="FFFFFF"/>
        </w:rPr>
        <w:t>“Nada jus</w:t>
      </w:r>
      <w:r w:rsidR="00AA671A">
        <w:rPr>
          <w:sz w:val="24"/>
          <w:szCs w:val="24"/>
          <w:shd w:val="clear" w:color="auto" w:fill="FFFFFF"/>
        </w:rPr>
        <w:t>tifica el martirio que hoy vive</w:t>
      </w:r>
      <w:r w:rsidR="00AE73C2" w:rsidRPr="009C0689">
        <w:rPr>
          <w:sz w:val="24"/>
          <w:szCs w:val="24"/>
          <w:shd w:val="clear" w:color="auto" w:fill="FFFFFF"/>
        </w:rPr>
        <w:t xml:space="preserve"> Putumayo y, sobre todo, su gente. El departamento del suroccidente colombiano ha experimentado en los últimos días una infame intensificación del asedio de la guerrilla de las Farc, que ya es allí habitual”</w:t>
      </w:r>
      <w:r w:rsidR="00AE73C2" w:rsidRPr="009C0689">
        <w:rPr>
          <w:rStyle w:val="Refdenotaalpie"/>
          <w:sz w:val="24"/>
          <w:szCs w:val="24"/>
          <w:shd w:val="clear" w:color="auto" w:fill="FFFFFF"/>
        </w:rPr>
        <w:footnoteReference w:id="1"/>
      </w:r>
      <w:r w:rsidR="00AE73C2" w:rsidRPr="009C0689">
        <w:rPr>
          <w:sz w:val="24"/>
          <w:szCs w:val="24"/>
          <w:shd w:val="clear" w:color="auto" w:fill="FFFFFF"/>
        </w:rPr>
        <w:t>.</w:t>
      </w:r>
      <w:r w:rsidR="00AA671A">
        <w:rPr>
          <w:sz w:val="24"/>
          <w:szCs w:val="24"/>
          <w:shd w:val="clear" w:color="auto" w:fill="FFFFFF"/>
        </w:rPr>
        <w:t xml:space="preserve"> La ofensiva continuó </w:t>
      </w:r>
      <w:r w:rsidR="003960AE" w:rsidRPr="009C0689">
        <w:rPr>
          <w:sz w:val="24"/>
          <w:szCs w:val="24"/>
          <w:shd w:val="clear" w:color="auto" w:fill="FFFFFF"/>
        </w:rPr>
        <w:t>hasta la declaración de la nueva tregua unilateral.</w:t>
      </w:r>
    </w:p>
    <w:p w14:paraId="0382E64D" w14:textId="1C226631" w:rsidR="00AE73C2" w:rsidRPr="009C0689" w:rsidRDefault="0061063B" w:rsidP="009C0689">
      <w:pPr>
        <w:spacing w:before="120" w:after="120" w:line="276" w:lineRule="auto"/>
        <w:jc w:val="both"/>
        <w:rPr>
          <w:sz w:val="24"/>
          <w:szCs w:val="24"/>
        </w:rPr>
      </w:pPr>
      <w:r w:rsidRPr="009C0689">
        <w:rPr>
          <w:sz w:val="24"/>
          <w:szCs w:val="24"/>
          <w:shd w:val="clear" w:color="auto" w:fill="FFFFFF"/>
        </w:rPr>
        <w:t>Situación similar ocurrió</w:t>
      </w:r>
      <w:r w:rsidR="003960AE" w:rsidRPr="009C0689">
        <w:rPr>
          <w:sz w:val="24"/>
          <w:szCs w:val="24"/>
          <w:shd w:val="clear" w:color="auto" w:fill="FFFFFF"/>
        </w:rPr>
        <w:t xml:space="preserve"> luego de la tregua de la segunda vuelta presidencial, nuevamente las FARC comenzaron a realizar acciones militares. Estas acciones crearon una opinión generalizada sobre una ofensiva de las FARC y un debilitamiento del gobierno nacional. Sin embargo, no fue una ofensiva y tampoco fue un debilitamiento del Estado. Lo que ocurrió es que después de las treguas la actividad de las FARC regresaba a los estándares normales que traían en los meses anteriores. Incluso, estos meses de supuesta ofensiva de las FARC estaban muy por debajo de la actividad guerrillera en los mismos meses del año 2013. La siguiente gráfica muestra la actividad militar de las FARC para el año 2013 discriminada por meses.  </w:t>
      </w:r>
    </w:p>
    <w:p w14:paraId="6377C214" w14:textId="77777777" w:rsidR="00AE73C2" w:rsidRPr="009C0689" w:rsidRDefault="00AE73C2" w:rsidP="009C0689">
      <w:pPr>
        <w:spacing w:before="120" w:after="120" w:line="276" w:lineRule="auto"/>
        <w:jc w:val="center"/>
        <w:rPr>
          <w:rFonts w:eastAsia="Times New Roman" w:cs="Calibri"/>
          <w:b/>
          <w:i/>
          <w:color w:val="000000"/>
          <w:kern w:val="24"/>
          <w:sz w:val="24"/>
          <w:szCs w:val="24"/>
          <w:lang w:eastAsia="es-CO"/>
        </w:rPr>
      </w:pPr>
      <w:r w:rsidRPr="009C0689">
        <w:rPr>
          <w:rFonts w:eastAsia="Times New Roman" w:cs="Calibri"/>
          <w:b/>
          <w:i/>
          <w:color w:val="000000"/>
          <w:kern w:val="24"/>
          <w:sz w:val="24"/>
          <w:szCs w:val="24"/>
          <w:lang w:eastAsia="es-CO"/>
        </w:rPr>
        <w:t>Evolución mensual de las acciones de las FARC para el 2013. Enero-Noviembre.</w:t>
      </w:r>
    </w:p>
    <w:p w14:paraId="045D6B63" w14:textId="77777777" w:rsidR="00AE73C2" w:rsidRPr="009C0689" w:rsidRDefault="00AE73C2" w:rsidP="009C0689">
      <w:pPr>
        <w:spacing w:before="120" w:after="120" w:line="276" w:lineRule="auto"/>
        <w:jc w:val="center"/>
        <w:rPr>
          <w:rFonts w:eastAsia="Times New Roman" w:cs="Calibri"/>
          <w:color w:val="000000"/>
          <w:kern w:val="24"/>
          <w:sz w:val="24"/>
          <w:szCs w:val="24"/>
          <w:lang w:eastAsia="es-CO"/>
        </w:rPr>
      </w:pPr>
      <w:r w:rsidRPr="009C0689">
        <w:rPr>
          <w:noProof/>
          <w:sz w:val="24"/>
          <w:szCs w:val="24"/>
          <w:lang w:eastAsia="es-CO"/>
        </w:rPr>
        <w:drawing>
          <wp:inline distT="0" distB="0" distL="0" distR="0" wp14:anchorId="42B8C0A6" wp14:editId="699066AF">
            <wp:extent cx="4572000" cy="2047164"/>
            <wp:effectExtent l="0" t="0" r="0" b="1079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ED5A95" w14:textId="1AFDF811" w:rsidR="00AE73C2" w:rsidRPr="009C0689" w:rsidRDefault="00AE73C2" w:rsidP="009C0689">
      <w:pPr>
        <w:spacing w:before="120" w:after="120" w:line="276" w:lineRule="auto"/>
        <w:jc w:val="both"/>
        <w:rPr>
          <w:rFonts w:eastAsia="Times New Roman" w:cs="Calibri"/>
          <w:i/>
          <w:color w:val="000000"/>
          <w:kern w:val="24"/>
          <w:sz w:val="24"/>
          <w:szCs w:val="24"/>
          <w:lang w:eastAsia="es-CO"/>
        </w:rPr>
      </w:pPr>
      <w:r w:rsidRPr="009C0689">
        <w:rPr>
          <w:rFonts w:eastAsia="Times New Roman" w:cs="Calibri"/>
          <w:color w:val="000000"/>
          <w:kern w:val="24"/>
          <w:sz w:val="24"/>
          <w:szCs w:val="24"/>
          <w:lang w:eastAsia="es-CO"/>
        </w:rPr>
        <w:t xml:space="preserve">                    </w:t>
      </w:r>
      <w:r w:rsidRPr="009C0689">
        <w:rPr>
          <w:rFonts w:eastAsia="Times New Roman" w:cs="Calibri"/>
          <w:i/>
          <w:color w:val="000000"/>
          <w:kern w:val="24"/>
          <w:sz w:val="24"/>
          <w:szCs w:val="24"/>
          <w:lang w:eastAsia="es-CO"/>
        </w:rPr>
        <w:t xml:space="preserve">Fundación paz y reconciliación. </w:t>
      </w:r>
      <w:r w:rsidR="009C0689" w:rsidRPr="009C0689">
        <w:rPr>
          <w:rFonts w:eastAsia="Times New Roman" w:cs="Calibri"/>
          <w:i/>
          <w:color w:val="000000"/>
          <w:kern w:val="24"/>
          <w:sz w:val="24"/>
          <w:szCs w:val="24"/>
          <w:lang w:eastAsia="es-CO"/>
        </w:rPr>
        <w:t>Base de datos.</w:t>
      </w:r>
    </w:p>
    <w:p w14:paraId="7325B076" w14:textId="5EE201BE" w:rsidR="00AE73C2" w:rsidRPr="009C0689" w:rsidRDefault="003960AE" w:rsidP="009C0689">
      <w:pPr>
        <w:spacing w:before="120" w:after="120" w:line="276" w:lineRule="auto"/>
        <w:jc w:val="both"/>
        <w:rPr>
          <w:sz w:val="24"/>
          <w:szCs w:val="24"/>
        </w:rPr>
      </w:pPr>
      <w:r w:rsidRPr="009C0689">
        <w:rPr>
          <w:sz w:val="24"/>
          <w:szCs w:val="24"/>
        </w:rPr>
        <w:t xml:space="preserve">Nótese como febrero de 2013 estuvo muy por encima que el mismo mes del año 2014 y para el mes de julio, las cifras fueron similares en ambos años. </w:t>
      </w:r>
      <w:r w:rsidR="0047049A" w:rsidRPr="009C0689">
        <w:rPr>
          <w:sz w:val="24"/>
          <w:szCs w:val="24"/>
        </w:rPr>
        <w:t xml:space="preserve">En todo caso, este incremento en la actividad militar de las FARC una vez finalizaban las treguas era percibido por la opinión pública como una ofensiva y por ende como un falta de voluntad </w:t>
      </w:r>
      <w:r w:rsidR="00354FC4">
        <w:rPr>
          <w:sz w:val="24"/>
          <w:szCs w:val="24"/>
        </w:rPr>
        <w:t>de paz, a la población le queda difícil entender</w:t>
      </w:r>
      <w:r w:rsidR="0047049A" w:rsidRPr="009C0689">
        <w:rPr>
          <w:sz w:val="24"/>
          <w:szCs w:val="24"/>
        </w:rPr>
        <w:t xml:space="preserve"> eso de negociar en medio de un conflicto. </w:t>
      </w:r>
    </w:p>
    <w:p w14:paraId="779B2F5A" w14:textId="3B6E6452" w:rsidR="0047049A" w:rsidRPr="009C0689" w:rsidRDefault="0047049A" w:rsidP="009C0689">
      <w:pPr>
        <w:spacing w:before="120" w:after="120" w:line="276" w:lineRule="auto"/>
        <w:jc w:val="both"/>
        <w:rPr>
          <w:sz w:val="24"/>
          <w:szCs w:val="24"/>
        </w:rPr>
      </w:pPr>
      <w:r w:rsidRPr="009C0689">
        <w:rPr>
          <w:sz w:val="24"/>
          <w:szCs w:val="24"/>
        </w:rPr>
        <w:t xml:space="preserve">Así las cosas lo que se vivió en el año 2014 es que ante cada acción militar de las FARC la opinión pública realizaba una presión importante al proceso de paz. Lo cual al final terminó llevando a que esta guerrilla comenzará a pensar en opinión </w:t>
      </w:r>
      <w:r w:rsidR="003C4045" w:rsidRPr="009C0689">
        <w:rPr>
          <w:sz w:val="24"/>
          <w:szCs w:val="24"/>
        </w:rPr>
        <w:t>pública</w:t>
      </w:r>
      <w:r w:rsidRPr="009C0689">
        <w:rPr>
          <w:sz w:val="24"/>
          <w:szCs w:val="24"/>
        </w:rPr>
        <w:t xml:space="preserve"> y por ende a racionalizar sus acciones militares. </w:t>
      </w:r>
    </w:p>
    <w:p w14:paraId="150B790E" w14:textId="59F9929F" w:rsidR="003C4045" w:rsidRPr="009C0689" w:rsidRDefault="003C4045" w:rsidP="009C0689">
      <w:pPr>
        <w:spacing w:before="120" w:after="120" w:line="276" w:lineRule="auto"/>
        <w:jc w:val="both"/>
        <w:rPr>
          <w:sz w:val="24"/>
          <w:szCs w:val="24"/>
        </w:rPr>
      </w:pPr>
      <w:r w:rsidRPr="009C0689">
        <w:rPr>
          <w:sz w:val="24"/>
          <w:szCs w:val="24"/>
        </w:rPr>
        <w:t>Igualmente al analizar la actividad</w:t>
      </w:r>
      <w:r w:rsidR="00AA6213" w:rsidRPr="009C0689">
        <w:rPr>
          <w:sz w:val="24"/>
          <w:szCs w:val="24"/>
        </w:rPr>
        <w:t xml:space="preserve"> militar de las FARC es notorio</w:t>
      </w:r>
      <w:r w:rsidRPr="009C0689">
        <w:rPr>
          <w:sz w:val="24"/>
          <w:szCs w:val="24"/>
        </w:rPr>
        <w:t xml:space="preserve"> como se han privilegiado los hostigamientos, ataques a la infraestructura petrolera y energética y en general acciones </w:t>
      </w:r>
      <w:r w:rsidR="009E4119" w:rsidRPr="009C0689">
        <w:rPr>
          <w:sz w:val="24"/>
          <w:szCs w:val="24"/>
        </w:rPr>
        <w:t>que involucran pequeños contingente guerrilleros, mientras que acciones de combate siguen en una reducción importante. La siguiente gráfica muestra el total de acciones armadas en las que se vieron involucradas estructuras militar</w:t>
      </w:r>
      <w:r w:rsidR="001A2985">
        <w:rPr>
          <w:sz w:val="24"/>
          <w:szCs w:val="24"/>
        </w:rPr>
        <w:t xml:space="preserve">es de las FARC y discriminadas </w:t>
      </w:r>
      <w:r w:rsidR="009E4119" w:rsidRPr="009C0689">
        <w:rPr>
          <w:sz w:val="24"/>
          <w:szCs w:val="24"/>
        </w:rPr>
        <w:t xml:space="preserve">por tipo de acción. Aquí se incluyen acciones de tipo ofensivo y defensivo de las FARC. </w:t>
      </w:r>
    </w:p>
    <w:p w14:paraId="07EF92C9" w14:textId="77777777" w:rsidR="00AE73C2" w:rsidRPr="009C0689" w:rsidRDefault="00AE73C2" w:rsidP="009C0689">
      <w:pPr>
        <w:spacing w:before="120" w:after="120" w:line="276" w:lineRule="auto"/>
        <w:jc w:val="both"/>
        <w:rPr>
          <w:sz w:val="24"/>
          <w:szCs w:val="24"/>
        </w:rPr>
      </w:pPr>
    </w:p>
    <w:p w14:paraId="24E512D4" w14:textId="77777777" w:rsidR="009C0689" w:rsidRPr="009C0689" w:rsidRDefault="009C0689" w:rsidP="009C0689">
      <w:pPr>
        <w:spacing w:before="120" w:after="120" w:line="276" w:lineRule="auto"/>
        <w:jc w:val="both"/>
        <w:rPr>
          <w:sz w:val="24"/>
          <w:szCs w:val="24"/>
        </w:rPr>
      </w:pPr>
    </w:p>
    <w:p w14:paraId="0310232A" w14:textId="77777777" w:rsidR="009C0689" w:rsidRPr="009C0689" w:rsidRDefault="009C0689" w:rsidP="009C0689">
      <w:pPr>
        <w:spacing w:before="120" w:after="120" w:line="276" w:lineRule="auto"/>
        <w:jc w:val="both"/>
        <w:rPr>
          <w:sz w:val="24"/>
          <w:szCs w:val="24"/>
        </w:rPr>
      </w:pPr>
    </w:p>
    <w:p w14:paraId="1D21B510" w14:textId="77777777" w:rsidR="009C0689" w:rsidRPr="009C0689" w:rsidRDefault="009C0689" w:rsidP="009C0689">
      <w:pPr>
        <w:spacing w:before="120" w:after="120" w:line="276" w:lineRule="auto"/>
        <w:jc w:val="both"/>
        <w:rPr>
          <w:sz w:val="24"/>
          <w:szCs w:val="24"/>
        </w:rPr>
      </w:pPr>
    </w:p>
    <w:p w14:paraId="312BE023" w14:textId="77777777" w:rsidR="009C0689" w:rsidRPr="009C0689" w:rsidRDefault="009C0689" w:rsidP="009C0689">
      <w:pPr>
        <w:spacing w:before="120" w:after="120" w:line="276" w:lineRule="auto"/>
        <w:jc w:val="both"/>
        <w:rPr>
          <w:sz w:val="24"/>
          <w:szCs w:val="24"/>
        </w:rPr>
      </w:pPr>
    </w:p>
    <w:p w14:paraId="3D884EBF" w14:textId="675B3C48" w:rsidR="009C0689" w:rsidRPr="009C0689" w:rsidRDefault="009C0689" w:rsidP="009C0689">
      <w:pPr>
        <w:spacing w:before="120" w:after="120" w:line="276" w:lineRule="auto"/>
        <w:jc w:val="center"/>
        <w:rPr>
          <w:rFonts w:eastAsia="Times New Roman" w:cs="Calibri"/>
          <w:b/>
          <w:color w:val="000000"/>
          <w:kern w:val="24"/>
          <w:sz w:val="24"/>
          <w:szCs w:val="24"/>
          <w:lang w:eastAsia="es-CO"/>
        </w:rPr>
      </w:pPr>
      <w:r w:rsidRPr="009C0689">
        <w:rPr>
          <w:rFonts w:eastAsia="Times New Roman" w:cs="Calibri"/>
          <w:b/>
          <w:color w:val="000000"/>
          <w:kern w:val="24"/>
          <w:sz w:val="24"/>
          <w:szCs w:val="24"/>
          <w:lang w:eastAsia="es-CO"/>
        </w:rPr>
        <w:t>Acciones de las FARC en 2014. Tipo de acción.</w:t>
      </w:r>
    </w:p>
    <w:p w14:paraId="0CDEDC80" w14:textId="64991A17" w:rsidR="00AE73C2" w:rsidRPr="009C0689" w:rsidRDefault="0047049A" w:rsidP="009C0689">
      <w:pPr>
        <w:spacing w:before="120" w:after="120" w:line="276" w:lineRule="auto"/>
        <w:jc w:val="center"/>
        <w:rPr>
          <w:sz w:val="24"/>
          <w:szCs w:val="24"/>
        </w:rPr>
      </w:pPr>
      <w:r w:rsidRPr="009C0689">
        <w:rPr>
          <w:noProof/>
          <w:sz w:val="24"/>
          <w:szCs w:val="24"/>
          <w:lang w:eastAsia="es-CO"/>
        </w:rPr>
        <w:drawing>
          <wp:inline distT="0" distB="0" distL="0" distR="0" wp14:anchorId="608AC1CA" wp14:editId="6537AEFB">
            <wp:extent cx="5191125" cy="2743200"/>
            <wp:effectExtent l="0" t="0" r="9525"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B71A40" w14:textId="5FE8247E" w:rsidR="009C0689" w:rsidRPr="009C0689" w:rsidRDefault="009C0689" w:rsidP="009C0689">
      <w:pPr>
        <w:spacing w:before="120" w:after="120" w:line="276" w:lineRule="auto"/>
        <w:jc w:val="both"/>
        <w:rPr>
          <w:sz w:val="24"/>
          <w:szCs w:val="24"/>
        </w:rPr>
      </w:pPr>
      <w:r w:rsidRPr="009C0689">
        <w:rPr>
          <w:sz w:val="24"/>
          <w:szCs w:val="24"/>
        </w:rPr>
        <w:t xml:space="preserve">       Fundación Paz y reconciliación. Banco de datos  </w:t>
      </w:r>
    </w:p>
    <w:p w14:paraId="502C0852" w14:textId="052CB2ED" w:rsidR="001028F2" w:rsidRPr="009C0689" w:rsidRDefault="001B62A1" w:rsidP="009C0689">
      <w:pPr>
        <w:spacing w:before="120" w:after="120" w:line="276" w:lineRule="auto"/>
        <w:jc w:val="both"/>
        <w:rPr>
          <w:sz w:val="24"/>
          <w:szCs w:val="24"/>
        </w:rPr>
      </w:pPr>
      <w:r>
        <w:rPr>
          <w:sz w:val="24"/>
          <w:szCs w:val="24"/>
        </w:rPr>
        <w:t>Al sumar los hostigamientos y</w:t>
      </w:r>
      <w:r w:rsidR="009E4119" w:rsidRPr="009C0689">
        <w:rPr>
          <w:sz w:val="24"/>
          <w:szCs w:val="24"/>
        </w:rPr>
        <w:t xml:space="preserve"> los ataques a la infraestructura petrolera y energética se contabilizan un total de 542 acciones armadas. Prácticamente el 50% del total de acciones de las FARC para el año 2014. En el año 2013 los datos fueron los siguientes</w:t>
      </w:r>
      <w:r w:rsidR="00F84309" w:rsidRPr="009C0689">
        <w:rPr>
          <w:sz w:val="24"/>
          <w:szCs w:val="24"/>
        </w:rPr>
        <w:t xml:space="preserve"> al discriminarlo por tipo de acción.</w:t>
      </w:r>
      <w:r w:rsidR="009E4119" w:rsidRPr="009C0689">
        <w:rPr>
          <w:sz w:val="24"/>
          <w:szCs w:val="24"/>
        </w:rPr>
        <w:t xml:space="preserve"> </w:t>
      </w:r>
    </w:p>
    <w:p w14:paraId="1EF8A6BF" w14:textId="77777777" w:rsidR="009E4119" w:rsidRPr="009C0689" w:rsidRDefault="009E4119" w:rsidP="009C0689">
      <w:pPr>
        <w:spacing w:before="120" w:after="120" w:line="276" w:lineRule="auto"/>
        <w:jc w:val="center"/>
        <w:rPr>
          <w:rFonts w:eastAsia="Times New Roman" w:cs="Calibri"/>
          <w:b/>
          <w:color w:val="000000"/>
          <w:kern w:val="24"/>
          <w:sz w:val="24"/>
          <w:szCs w:val="24"/>
          <w:lang w:eastAsia="es-CO"/>
        </w:rPr>
      </w:pPr>
      <w:r w:rsidRPr="009C0689">
        <w:rPr>
          <w:rFonts w:eastAsia="Times New Roman" w:cs="Calibri"/>
          <w:b/>
          <w:color w:val="000000"/>
          <w:kern w:val="24"/>
          <w:sz w:val="24"/>
          <w:szCs w:val="24"/>
          <w:lang w:eastAsia="es-CO"/>
        </w:rPr>
        <w:t>Acciones de las FARC en 2013, Enero-Noviembre. Tipo de acción.</w:t>
      </w:r>
    </w:p>
    <w:p w14:paraId="4421AA27" w14:textId="77777777" w:rsidR="009E4119" w:rsidRPr="009C0689" w:rsidRDefault="009E4119" w:rsidP="009C0689">
      <w:pPr>
        <w:spacing w:before="120" w:after="120" w:line="276" w:lineRule="auto"/>
        <w:jc w:val="center"/>
        <w:rPr>
          <w:rFonts w:eastAsia="Times New Roman" w:cs="Calibri"/>
          <w:color w:val="000000"/>
          <w:kern w:val="24"/>
          <w:sz w:val="24"/>
          <w:szCs w:val="24"/>
          <w:lang w:eastAsia="es-CO"/>
        </w:rPr>
      </w:pPr>
      <w:r w:rsidRPr="009C0689">
        <w:rPr>
          <w:rFonts w:eastAsia="Calibri" w:cs="Times New Roman"/>
          <w:noProof/>
          <w:sz w:val="24"/>
          <w:szCs w:val="24"/>
          <w:lang w:eastAsia="es-CO"/>
        </w:rPr>
        <w:drawing>
          <wp:inline distT="0" distB="0" distL="0" distR="0" wp14:anchorId="67FD4DD5" wp14:editId="09AEEAD3">
            <wp:extent cx="5260975" cy="2378597"/>
            <wp:effectExtent l="0" t="0" r="15875" b="317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897FEB" w14:textId="620E1EC9" w:rsidR="009E4119" w:rsidRPr="009C0689" w:rsidRDefault="009C0689" w:rsidP="009C0689">
      <w:pPr>
        <w:spacing w:before="120" w:after="120" w:line="276" w:lineRule="auto"/>
        <w:jc w:val="both"/>
        <w:rPr>
          <w:rFonts w:eastAsia="Times New Roman" w:cs="Calibri"/>
          <w:color w:val="000000"/>
          <w:kern w:val="24"/>
          <w:sz w:val="24"/>
          <w:szCs w:val="24"/>
          <w:lang w:eastAsia="es-CO"/>
        </w:rPr>
      </w:pPr>
      <w:r w:rsidRPr="009C0689">
        <w:rPr>
          <w:rFonts w:eastAsia="Times New Roman" w:cs="Calibri"/>
          <w:color w:val="000000"/>
          <w:kern w:val="24"/>
          <w:sz w:val="24"/>
          <w:szCs w:val="24"/>
          <w:lang w:eastAsia="es-CO"/>
        </w:rPr>
        <w:t xml:space="preserve">     </w:t>
      </w:r>
      <w:r w:rsidR="009E4119" w:rsidRPr="009C0689">
        <w:rPr>
          <w:rFonts w:eastAsia="Times New Roman" w:cs="Calibri"/>
          <w:i/>
          <w:color w:val="000000"/>
          <w:kern w:val="24"/>
          <w:sz w:val="24"/>
          <w:szCs w:val="24"/>
          <w:lang w:eastAsia="es-CO"/>
        </w:rPr>
        <w:t xml:space="preserve"> Fundación paz y reconciliación.</w:t>
      </w:r>
      <w:r w:rsidRPr="009C0689">
        <w:rPr>
          <w:rFonts w:eastAsia="Times New Roman" w:cs="Calibri"/>
          <w:i/>
          <w:color w:val="000000"/>
          <w:kern w:val="24"/>
          <w:sz w:val="24"/>
          <w:szCs w:val="24"/>
          <w:lang w:eastAsia="es-CO"/>
        </w:rPr>
        <w:t xml:space="preserve"> Banco de datos. </w:t>
      </w:r>
    </w:p>
    <w:p w14:paraId="172375D4" w14:textId="38564812" w:rsidR="009E4119" w:rsidRPr="009C0689" w:rsidRDefault="00F84309" w:rsidP="009C0689">
      <w:pPr>
        <w:spacing w:before="120" w:after="120" w:line="276" w:lineRule="auto"/>
        <w:jc w:val="both"/>
        <w:rPr>
          <w:sz w:val="24"/>
          <w:szCs w:val="24"/>
        </w:rPr>
      </w:pPr>
      <w:r w:rsidRPr="009C0689">
        <w:rPr>
          <w:sz w:val="24"/>
          <w:szCs w:val="24"/>
        </w:rPr>
        <w:t>Nótese, al comparar ambas gráficas, que los combates se redujeron en cerca de un 50%. Gran parte de la explicación d</w:t>
      </w:r>
      <w:r w:rsidR="001A2985">
        <w:rPr>
          <w:sz w:val="24"/>
          <w:szCs w:val="24"/>
        </w:rPr>
        <w:t>e esta reducción de la operatividad se debe a un cambio de la</w:t>
      </w:r>
      <w:r w:rsidRPr="009C0689">
        <w:rPr>
          <w:sz w:val="24"/>
          <w:szCs w:val="24"/>
        </w:rPr>
        <w:t xml:space="preserve"> est</w:t>
      </w:r>
      <w:r w:rsidR="001A2985">
        <w:rPr>
          <w:sz w:val="24"/>
          <w:szCs w:val="24"/>
        </w:rPr>
        <w:t>rategia militar de las FARC</w:t>
      </w:r>
      <w:r w:rsidRPr="009C0689">
        <w:rPr>
          <w:sz w:val="24"/>
          <w:szCs w:val="24"/>
        </w:rPr>
        <w:t>.</w:t>
      </w:r>
      <w:r w:rsidR="001A2985">
        <w:rPr>
          <w:sz w:val="24"/>
          <w:szCs w:val="24"/>
        </w:rPr>
        <w:t xml:space="preserve"> Esa transformación empezó a funcionar desde 2010.  E</w:t>
      </w:r>
      <w:r w:rsidRPr="009C0689">
        <w:rPr>
          <w:sz w:val="24"/>
          <w:szCs w:val="24"/>
        </w:rPr>
        <w:t>l grupo guerrillero se propuso la creación masiva de Unidades Tácticas de Combate, que es una estructura militar de entre 6 y 10 guerrilleros, que si bien no tiene c</w:t>
      </w:r>
      <w:r w:rsidR="001A2985">
        <w:rPr>
          <w:sz w:val="24"/>
          <w:szCs w:val="24"/>
        </w:rPr>
        <w:t>apacidad de combate es experta</w:t>
      </w:r>
      <w:r w:rsidRPr="009C0689">
        <w:rPr>
          <w:sz w:val="24"/>
          <w:szCs w:val="24"/>
        </w:rPr>
        <w:t xml:space="preserve"> en la instalación de explo</w:t>
      </w:r>
      <w:r w:rsidR="00AA6213" w:rsidRPr="009C0689">
        <w:rPr>
          <w:sz w:val="24"/>
          <w:szCs w:val="24"/>
        </w:rPr>
        <w:t>sivos</w:t>
      </w:r>
      <w:r w:rsidRPr="009C0689">
        <w:rPr>
          <w:sz w:val="24"/>
          <w:szCs w:val="24"/>
        </w:rPr>
        <w:t xml:space="preserve"> y disparos de alta precisión. </w:t>
      </w:r>
    </w:p>
    <w:p w14:paraId="25272DAD" w14:textId="41E0C4F9" w:rsidR="00F84309" w:rsidRPr="009C0689" w:rsidRDefault="00F84309" w:rsidP="009C0689">
      <w:pPr>
        <w:spacing w:before="120" w:after="120" w:line="276" w:lineRule="auto"/>
        <w:jc w:val="both"/>
        <w:rPr>
          <w:sz w:val="24"/>
          <w:szCs w:val="24"/>
        </w:rPr>
      </w:pPr>
      <w:r w:rsidRPr="009C0689">
        <w:rPr>
          <w:sz w:val="24"/>
          <w:szCs w:val="24"/>
        </w:rPr>
        <w:t>Un segundo cambio fue la creación</w:t>
      </w:r>
      <w:r w:rsidR="00AA6213" w:rsidRPr="009C0689">
        <w:rPr>
          <w:sz w:val="24"/>
          <w:szCs w:val="24"/>
        </w:rPr>
        <w:t>,</w:t>
      </w:r>
      <w:r w:rsidRPr="009C0689">
        <w:rPr>
          <w:sz w:val="24"/>
          <w:szCs w:val="24"/>
        </w:rPr>
        <w:t xml:space="preserve"> desde 201</w:t>
      </w:r>
      <w:r w:rsidR="00C55209" w:rsidRPr="009C0689">
        <w:rPr>
          <w:sz w:val="24"/>
          <w:szCs w:val="24"/>
        </w:rPr>
        <w:t>3</w:t>
      </w:r>
      <w:r w:rsidR="00AA6213" w:rsidRPr="009C0689">
        <w:rPr>
          <w:sz w:val="24"/>
          <w:szCs w:val="24"/>
        </w:rPr>
        <w:t>,</w:t>
      </w:r>
      <w:r w:rsidRPr="009C0689">
        <w:rPr>
          <w:sz w:val="24"/>
          <w:szCs w:val="24"/>
        </w:rPr>
        <w:t xml:space="preserve"> de las “comisiones de mineros”</w:t>
      </w:r>
      <w:r w:rsidR="00C55209" w:rsidRPr="009C0689">
        <w:rPr>
          <w:sz w:val="24"/>
          <w:szCs w:val="24"/>
        </w:rPr>
        <w:t xml:space="preserve">, que son estructuras de máximo 3 guerrilleros expertos en la instalación de explosivos para afectar la infraestructura petrolera y energética del país. Se les denominó comisiones de mineros, debido a que cavan huecos para instalas las cargas explosivas. También estas comisiones golpearon furentemente a la fuerza pública cuando instalaban explosivos a la orilla de las carreteras, en municipios como Argelia Cauca o el bajo Cauca antioqueño esto fue un práctica intensa durante el 2013 e inicios del 2014. </w:t>
      </w:r>
    </w:p>
    <w:p w14:paraId="466BFD63" w14:textId="18A65636" w:rsidR="009E4119" w:rsidRPr="009C0689" w:rsidRDefault="00C55209" w:rsidP="009C0689">
      <w:pPr>
        <w:spacing w:before="120" w:after="120" w:line="276" w:lineRule="auto"/>
        <w:jc w:val="both"/>
        <w:rPr>
          <w:sz w:val="24"/>
          <w:szCs w:val="24"/>
        </w:rPr>
      </w:pPr>
      <w:r w:rsidRPr="009C0689">
        <w:rPr>
          <w:sz w:val="24"/>
          <w:szCs w:val="24"/>
        </w:rPr>
        <w:t xml:space="preserve">Un tercer cambio, que si bien se comenzó a aplicar </w:t>
      </w:r>
      <w:r w:rsidR="00297C45" w:rsidRPr="009C0689">
        <w:rPr>
          <w:sz w:val="24"/>
          <w:szCs w:val="24"/>
        </w:rPr>
        <w:t>desde finales del año 20</w:t>
      </w:r>
      <w:r w:rsidRPr="009C0689">
        <w:rPr>
          <w:sz w:val="24"/>
          <w:szCs w:val="24"/>
        </w:rPr>
        <w:t>13, se consolidó durante todo el año 2014, fue la creación y puesta en funcionamiento de la estrategia de “guías”</w:t>
      </w:r>
      <w:r w:rsidR="00297C45" w:rsidRPr="009C0689">
        <w:rPr>
          <w:sz w:val="24"/>
          <w:szCs w:val="24"/>
        </w:rPr>
        <w:t xml:space="preserve">, donde básicamente las FARC dejaron de lado la movilización de contingentes militares y la cultura del campamento y se dedicaron al trabajo político y a realizar acercamientos a la población civil, con el fin de preparar el postconflicto. Este acercamiento requiere un poco más de estabilidad en el territorio, y ello llevó a las FARC a establecer en varias de sus zonas de influencia una compleja red de detección e información en sus zonas de operaciones. </w:t>
      </w:r>
    </w:p>
    <w:p w14:paraId="5985F09F" w14:textId="74CC2B9E" w:rsidR="00F41FF0" w:rsidRPr="009C0689" w:rsidRDefault="00D20AFA" w:rsidP="009C0689">
      <w:pPr>
        <w:spacing w:before="120" w:after="120" w:line="276" w:lineRule="auto"/>
        <w:jc w:val="both"/>
        <w:rPr>
          <w:sz w:val="24"/>
          <w:szCs w:val="24"/>
        </w:rPr>
      </w:pPr>
      <w:r>
        <w:rPr>
          <w:sz w:val="24"/>
          <w:szCs w:val="24"/>
        </w:rPr>
        <w:t>Otro dato importante</w:t>
      </w:r>
      <w:r w:rsidR="00297C45" w:rsidRPr="009C0689">
        <w:rPr>
          <w:sz w:val="24"/>
          <w:szCs w:val="24"/>
        </w:rPr>
        <w:t xml:space="preserve"> de la gráfica de acciones armadas</w:t>
      </w:r>
      <w:r w:rsidR="001314AE" w:rsidRPr="009C0689">
        <w:rPr>
          <w:sz w:val="24"/>
          <w:szCs w:val="24"/>
        </w:rPr>
        <w:t xml:space="preserve"> discriminada por tipo, </w:t>
      </w:r>
      <w:r w:rsidR="00297C45" w:rsidRPr="009C0689">
        <w:rPr>
          <w:sz w:val="24"/>
          <w:szCs w:val="24"/>
        </w:rPr>
        <w:t xml:space="preserve">se refiere a los ataques a bienes particulares, </w:t>
      </w:r>
      <w:r w:rsidR="001314AE" w:rsidRPr="009C0689">
        <w:rPr>
          <w:sz w:val="24"/>
          <w:szCs w:val="24"/>
        </w:rPr>
        <w:t>estos</w:t>
      </w:r>
      <w:r w:rsidR="00297C45" w:rsidRPr="009C0689">
        <w:rPr>
          <w:sz w:val="24"/>
          <w:szCs w:val="24"/>
        </w:rPr>
        <w:t xml:space="preserve"> pas</w:t>
      </w:r>
      <w:r w:rsidR="001314AE" w:rsidRPr="009C0689">
        <w:rPr>
          <w:sz w:val="24"/>
          <w:szCs w:val="24"/>
        </w:rPr>
        <w:t xml:space="preserve">aron de 34 hechos en 2013 a 93 en </w:t>
      </w:r>
      <w:r w:rsidR="00467C38" w:rsidRPr="009C0689">
        <w:rPr>
          <w:sz w:val="24"/>
          <w:szCs w:val="24"/>
        </w:rPr>
        <w:t>el año</w:t>
      </w:r>
      <w:r w:rsidR="001314AE" w:rsidRPr="009C0689">
        <w:rPr>
          <w:sz w:val="24"/>
          <w:szCs w:val="24"/>
        </w:rPr>
        <w:t xml:space="preserve"> 2014, es decir, se produjo un incremento del 140%. El siguiente cuadro muestra el total de acciones de este tipo discriminaos por departamento donde ocurrieron. </w:t>
      </w:r>
    </w:p>
    <w:p w14:paraId="2B940F6A" w14:textId="6DAF54B1" w:rsidR="00F41FF0" w:rsidRPr="009C0689" w:rsidRDefault="00F41FF0" w:rsidP="009C0689">
      <w:pPr>
        <w:spacing w:before="120" w:after="120" w:line="276" w:lineRule="auto"/>
        <w:jc w:val="center"/>
        <w:rPr>
          <w:b/>
          <w:sz w:val="24"/>
          <w:szCs w:val="24"/>
        </w:rPr>
      </w:pPr>
      <w:r w:rsidRPr="009C0689">
        <w:rPr>
          <w:b/>
          <w:sz w:val="24"/>
          <w:szCs w:val="24"/>
        </w:rPr>
        <w:t>ATAQUES A BIENES PARTICULARES</w:t>
      </w:r>
    </w:p>
    <w:tbl>
      <w:tblPr>
        <w:tblW w:w="3680" w:type="dxa"/>
        <w:jc w:val="center"/>
        <w:tblCellMar>
          <w:left w:w="70" w:type="dxa"/>
          <w:right w:w="70" w:type="dxa"/>
        </w:tblCellMar>
        <w:tblLook w:val="04A0" w:firstRow="1" w:lastRow="0" w:firstColumn="1" w:lastColumn="0" w:noHBand="0" w:noVBand="1"/>
      </w:tblPr>
      <w:tblGrid>
        <w:gridCol w:w="2140"/>
        <w:gridCol w:w="1540"/>
      </w:tblGrid>
      <w:tr w:rsidR="00F41FF0" w:rsidRPr="009C0689" w14:paraId="733134A5" w14:textId="77777777" w:rsidTr="00CE1F1F">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20181E" w14:textId="77777777" w:rsidR="00F41FF0" w:rsidRPr="009C0689" w:rsidRDefault="00F41FF0"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Departamento</w:t>
            </w:r>
          </w:p>
        </w:tc>
        <w:tc>
          <w:tcPr>
            <w:tcW w:w="1540" w:type="dxa"/>
            <w:tcBorders>
              <w:top w:val="single" w:sz="4" w:space="0" w:color="auto"/>
              <w:left w:val="nil"/>
              <w:bottom w:val="single" w:sz="4" w:space="0" w:color="auto"/>
              <w:right w:val="single" w:sz="4" w:space="0" w:color="auto"/>
            </w:tcBorders>
            <w:shd w:val="clear" w:color="auto" w:fill="auto"/>
            <w:vAlign w:val="bottom"/>
            <w:hideMark/>
          </w:tcPr>
          <w:p w14:paraId="6C4A2318" w14:textId="77777777" w:rsidR="00F41FF0" w:rsidRPr="009C0689" w:rsidRDefault="00F41FF0"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 Ataques</w:t>
            </w:r>
          </w:p>
        </w:tc>
      </w:tr>
      <w:tr w:rsidR="00F41FF0" w:rsidRPr="009C0689" w14:paraId="49DF6B2A" w14:textId="77777777" w:rsidTr="00CE1F1F">
        <w:trPr>
          <w:trHeight w:val="30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41BD918E" w14:textId="77777777"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ARAUCA</w:t>
            </w:r>
          </w:p>
        </w:tc>
        <w:tc>
          <w:tcPr>
            <w:tcW w:w="1540" w:type="dxa"/>
            <w:tcBorders>
              <w:top w:val="nil"/>
              <w:left w:val="nil"/>
              <w:bottom w:val="single" w:sz="4" w:space="0" w:color="auto"/>
              <w:right w:val="single" w:sz="4" w:space="0" w:color="auto"/>
            </w:tcBorders>
            <w:shd w:val="clear" w:color="auto" w:fill="auto"/>
            <w:vAlign w:val="bottom"/>
            <w:hideMark/>
          </w:tcPr>
          <w:p w14:paraId="2085D8EB"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w:t>
            </w:r>
          </w:p>
        </w:tc>
      </w:tr>
      <w:tr w:rsidR="00F41FF0" w:rsidRPr="009C0689" w14:paraId="5FB57858" w14:textId="77777777" w:rsidTr="00CE1F1F">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1B1F0227" w14:textId="77777777"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ANTIOQUIA</w:t>
            </w:r>
          </w:p>
        </w:tc>
        <w:tc>
          <w:tcPr>
            <w:tcW w:w="1540" w:type="dxa"/>
            <w:tcBorders>
              <w:top w:val="nil"/>
              <w:left w:val="nil"/>
              <w:bottom w:val="single" w:sz="4" w:space="0" w:color="auto"/>
              <w:right w:val="single" w:sz="4" w:space="0" w:color="auto"/>
            </w:tcBorders>
            <w:shd w:val="clear" w:color="auto" w:fill="auto"/>
            <w:noWrap/>
            <w:vAlign w:val="bottom"/>
            <w:hideMark/>
          </w:tcPr>
          <w:p w14:paraId="0FA2481F"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26</w:t>
            </w:r>
          </w:p>
        </w:tc>
      </w:tr>
      <w:tr w:rsidR="00F41FF0" w:rsidRPr="009C0689" w14:paraId="07B05096" w14:textId="77777777" w:rsidTr="00CE1F1F">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4FD6B2D1" w14:textId="77777777"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CAQUETA</w:t>
            </w:r>
          </w:p>
        </w:tc>
        <w:tc>
          <w:tcPr>
            <w:tcW w:w="1540" w:type="dxa"/>
            <w:tcBorders>
              <w:top w:val="nil"/>
              <w:left w:val="nil"/>
              <w:bottom w:val="single" w:sz="4" w:space="0" w:color="auto"/>
              <w:right w:val="single" w:sz="4" w:space="0" w:color="auto"/>
            </w:tcBorders>
            <w:shd w:val="clear" w:color="auto" w:fill="auto"/>
            <w:noWrap/>
            <w:vAlign w:val="bottom"/>
            <w:hideMark/>
          </w:tcPr>
          <w:p w14:paraId="7A96D683"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w:t>
            </w:r>
          </w:p>
        </w:tc>
      </w:tr>
      <w:tr w:rsidR="00F41FF0" w:rsidRPr="009C0689" w14:paraId="22431968" w14:textId="77777777" w:rsidTr="00CE1F1F">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12103AAD" w14:textId="77777777"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CAUCA</w:t>
            </w:r>
          </w:p>
        </w:tc>
        <w:tc>
          <w:tcPr>
            <w:tcW w:w="1540" w:type="dxa"/>
            <w:tcBorders>
              <w:top w:val="nil"/>
              <w:left w:val="nil"/>
              <w:bottom w:val="single" w:sz="4" w:space="0" w:color="auto"/>
              <w:right w:val="single" w:sz="4" w:space="0" w:color="auto"/>
            </w:tcBorders>
            <w:shd w:val="clear" w:color="auto" w:fill="auto"/>
            <w:noWrap/>
            <w:vAlign w:val="bottom"/>
            <w:hideMark/>
          </w:tcPr>
          <w:p w14:paraId="13A7AA75"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7</w:t>
            </w:r>
          </w:p>
        </w:tc>
      </w:tr>
      <w:tr w:rsidR="00F41FF0" w:rsidRPr="009C0689" w14:paraId="28E3F3B8" w14:textId="77777777" w:rsidTr="00CE1F1F">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03326887" w14:textId="77777777"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HUILA</w:t>
            </w:r>
          </w:p>
        </w:tc>
        <w:tc>
          <w:tcPr>
            <w:tcW w:w="1540" w:type="dxa"/>
            <w:tcBorders>
              <w:top w:val="nil"/>
              <w:left w:val="nil"/>
              <w:bottom w:val="single" w:sz="4" w:space="0" w:color="auto"/>
              <w:right w:val="single" w:sz="4" w:space="0" w:color="auto"/>
            </w:tcBorders>
            <w:shd w:val="clear" w:color="auto" w:fill="auto"/>
            <w:noWrap/>
            <w:vAlign w:val="bottom"/>
            <w:hideMark/>
          </w:tcPr>
          <w:p w14:paraId="3FE0A9EE"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38</w:t>
            </w:r>
          </w:p>
        </w:tc>
      </w:tr>
      <w:tr w:rsidR="00F41FF0" w:rsidRPr="009C0689" w14:paraId="203C7AB9" w14:textId="77777777" w:rsidTr="00CE1F1F">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4C09A5AC" w14:textId="77777777"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META</w:t>
            </w:r>
          </w:p>
        </w:tc>
        <w:tc>
          <w:tcPr>
            <w:tcW w:w="1540" w:type="dxa"/>
            <w:tcBorders>
              <w:top w:val="nil"/>
              <w:left w:val="nil"/>
              <w:bottom w:val="single" w:sz="4" w:space="0" w:color="auto"/>
              <w:right w:val="single" w:sz="4" w:space="0" w:color="auto"/>
            </w:tcBorders>
            <w:shd w:val="clear" w:color="auto" w:fill="auto"/>
            <w:noWrap/>
            <w:vAlign w:val="bottom"/>
            <w:hideMark/>
          </w:tcPr>
          <w:p w14:paraId="29258A6F"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6</w:t>
            </w:r>
          </w:p>
        </w:tc>
      </w:tr>
      <w:tr w:rsidR="00F41FF0" w:rsidRPr="009C0689" w14:paraId="0F8AF284" w14:textId="77777777" w:rsidTr="00CE1F1F">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4B3CE01A" w14:textId="77777777"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NTE SANTANDER</w:t>
            </w:r>
          </w:p>
        </w:tc>
        <w:tc>
          <w:tcPr>
            <w:tcW w:w="1540" w:type="dxa"/>
            <w:tcBorders>
              <w:top w:val="nil"/>
              <w:left w:val="nil"/>
              <w:bottom w:val="single" w:sz="4" w:space="0" w:color="auto"/>
              <w:right w:val="single" w:sz="4" w:space="0" w:color="auto"/>
            </w:tcBorders>
            <w:shd w:val="clear" w:color="auto" w:fill="auto"/>
            <w:noWrap/>
            <w:vAlign w:val="bottom"/>
            <w:hideMark/>
          </w:tcPr>
          <w:p w14:paraId="796E1790"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7</w:t>
            </w:r>
          </w:p>
        </w:tc>
      </w:tr>
      <w:tr w:rsidR="00F41FF0" w:rsidRPr="009C0689" w14:paraId="3B01FB2E" w14:textId="77777777" w:rsidTr="00CE1F1F">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60866786" w14:textId="77777777"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TOLIMA</w:t>
            </w:r>
          </w:p>
        </w:tc>
        <w:tc>
          <w:tcPr>
            <w:tcW w:w="1540" w:type="dxa"/>
            <w:tcBorders>
              <w:top w:val="nil"/>
              <w:left w:val="nil"/>
              <w:bottom w:val="single" w:sz="4" w:space="0" w:color="auto"/>
              <w:right w:val="single" w:sz="4" w:space="0" w:color="auto"/>
            </w:tcBorders>
            <w:shd w:val="clear" w:color="auto" w:fill="auto"/>
            <w:noWrap/>
            <w:vAlign w:val="bottom"/>
            <w:hideMark/>
          </w:tcPr>
          <w:p w14:paraId="1F3E7B04"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7</w:t>
            </w:r>
          </w:p>
        </w:tc>
      </w:tr>
      <w:tr w:rsidR="00F41FF0" w:rsidRPr="009C0689" w14:paraId="3637F539" w14:textId="77777777" w:rsidTr="00CE1F1F">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560DEC6D" w14:textId="77777777" w:rsidR="00F41FF0" w:rsidRPr="009C0689" w:rsidRDefault="00F41FF0"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TOTAL</w:t>
            </w:r>
          </w:p>
        </w:tc>
        <w:tc>
          <w:tcPr>
            <w:tcW w:w="1540" w:type="dxa"/>
            <w:tcBorders>
              <w:top w:val="nil"/>
              <w:left w:val="nil"/>
              <w:bottom w:val="single" w:sz="4" w:space="0" w:color="auto"/>
              <w:right w:val="single" w:sz="4" w:space="0" w:color="auto"/>
            </w:tcBorders>
            <w:shd w:val="clear" w:color="auto" w:fill="auto"/>
            <w:noWrap/>
            <w:vAlign w:val="bottom"/>
            <w:hideMark/>
          </w:tcPr>
          <w:p w14:paraId="6F33EDD5" w14:textId="77777777" w:rsidR="00F41FF0" w:rsidRPr="009C0689" w:rsidRDefault="00F41FF0" w:rsidP="009C0689">
            <w:pPr>
              <w:spacing w:before="120" w:after="120" w:line="276" w:lineRule="auto"/>
              <w:jc w:val="right"/>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93</w:t>
            </w:r>
          </w:p>
        </w:tc>
      </w:tr>
    </w:tbl>
    <w:p w14:paraId="1BC75477" w14:textId="77777777" w:rsidR="00F41FF0" w:rsidRPr="009C0689" w:rsidRDefault="00F41FF0" w:rsidP="009C0689">
      <w:pPr>
        <w:spacing w:before="120" w:after="120" w:line="276" w:lineRule="auto"/>
        <w:jc w:val="center"/>
        <w:rPr>
          <w:b/>
          <w:color w:val="FF0000"/>
          <w:sz w:val="24"/>
          <w:szCs w:val="24"/>
        </w:rPr>
      </w:pPr>
    </w:p>
    <w:p w14:paraId="74DA8D41" w14:textId="79EDE8B3" w:rsidR="001314AE" w:rsidRPr="009C0689" w:rsidRDefault="00467C38" w:rsidP="009C0689">
      <w:pPr>
        <w:spacing w:before="120" w:after="120" w:line="276" w:lineRule="auto"/>
        <w:jc w:val="both"/>
        <w:rPr>
          <w:sz w:val="24"/>
          <w:szCs w:val="24"/>
        </w:rPr>
      </w:pPr>
      <w:r w:rsidRPr="009C0689">
        <w:rPr>
          <w:sz w:val="24"/>
          <w:szCs w:val="24"/>
        </w:rPr>
        <w:t>Esta situación</w:t>
      </w:r>
      <w:r w:rsidR="00D20AFA">
        <w:rPr>
          <w:sz w:val="24"/>
          <w:szCs w:val="24"/>
        </w:rPr>
        <w:t xml:space="preserve"> se debe a los atentados por </w:t>
      </w:r>
      <w:r w:rsidR="001314AE" w:rsidRPr="009C0689">
        <w:rPr>
          <w:sz w:val="24"/>
          <w:szCs w:val="24"/>
        </w:rPr>
        <w:t>no pagos de extorsión en diferentes regiones del país. Aquí existen dos grandes hallazgos, por un lado, las FARC</w:t>
      </w:r>
      <w:r w:rsidRPr="009C0689">
        <w:rPr>
          <w:sz w:val="24"/>
          <w:szCs w:val="24"/>
        </w:rPr>
        <w:t xml:space="preserve"> han comenzado a cobrar</w:t>
      </w:r>
      <w:r w:rsidR="001314AE" w:rsidRPr="009C0689">
        <w:rPr>
          <w:sz w:val="24"/>
          <w:szCs w:val="24"/>
        </w:rPr>
        <w:t xml:space="preserve"> vacuna o cuotas de extorsión en varias zonas donde no lo hicieron durante varios años, como en la zona urbana de Neiva. En la capital huilense se presentaron 22 ataques con explosivos a locales comerciales en el 2014. Situación similar ocurrió en algunas regiones de Casanare. </w:t>
      </w:r>
    </w:p>
    <w:p w14:paraId="026CE433" w14:textId="39F74C27" w:rsidR="00F41FF0" w:rsidRPr="009C0689" w:rsidRDefault="001314AE" w:rsidP="009C0689">
      <w:pPr>
        <w:spacing w:before="120" w:after="120" w:line="276" w:lineRule="auto"/>
        <w:jc w:val="both"/>
        <w:rPr>
          <w:sz w:val="24"/>
          <w:szCs w:val="24"/>
        </w:rPr>
      </w:pPr>
      <w:r w:rsidRPr="009C0689">
        <w:rPr>
          <w:sz w:val="24"/>
          <w:szCs w:val="24"/>
        </w:rPr>
        <w:t>La otra explicación, es que en varias zonas donde las FARC venían realizando cobro de extorsiones, estas se profundizaron, es decir se amplió la población objeto de extorsión. Por ejemplo</w:t>
      </w:r>
      <w:r w:rsidR="00AA6213" w:rsidRPr="009C0689">
        <w:rPr>
          <w:sz w:val="24"/>
          <w:szCs w:val="24"/>
        </w:rPr>
        <w:t>,</w:t>
      </w:r>
      <w:r w:rsidRPr="009C0689">
        <w:rPr>
          <w:sz w:val="24"/>
          <w:szCs w:val="24"/>
        </w:rPr>
        <w:t xml:space="preserve"> en varias zonas del Caquetá solo personas que contaran con más de 50 cabeza</w:t>
      </w:r>
      <w:r w:rsidR="00AA6213" w:rsidRPr="009C0689">
        <w:rPr>
          <w:sz w:val="24"/>
          <w:szCs w:val="24"/>
        </w:rPr>
        <w:t xml:space="preserve">s de ganado pagaban extorsión, </w:t>
      </w:r>
      <w:r w:rsidRPr="009C0689">
        <w:rPr>
          <w:sz w:val="24"/>
          <w:szCs w:val="24"/>
        </w:rPr>
        <w:t>en la actualidad lo hacen los que tengan más de 10 cabezas de ganado. Vale la pena aclara</w:t>
      </w:r>
      <w:r w:rsidR="00467C38" w:rsidRPr="009C0689">
        <w:rPr>
          <w:sz w:val="24"/>
          <w:szCs w:val="24"/>
        </w:rPr>
        <w:t>r,</w:t>
      </w:r>
      <w:r w:rsidRPr="009C0689">
        <w:rPr>
          <w:sz w:val="24"/>
          <w:szCs w:val="24"/>
        </w:rPr>
        <w:t xml:space="preserve"> que esta situación </w:t>
      </w:r>
      <w:r w:rsidR="00467C38" w:rsidRPr="009C0689">
        <w:rPr>
          <w:sz w:val="24"/>
          <w:szCs w:val="24"/>
        </w:rPr>
        <w:t>varía</w:t>
      </w:r>
      <w:r w:rsidRPr="009C0689">
        <w:rPr>
          <w:sz w:val="24"/>
          <w:szCs w:val="24"/>
        </w:rPr>
        <w:t xml:space="preserve"> de una zona a otro, o de un frente guerrillero a otro. Así por ejemplo en el departamento del Caquetá, las zonas donde opera la Teófilo Forero la extorsión se cobra a las personas con más de 10 cabezas de ganado; y en las zonas del frente 14 y 15 la cifra se encuentra en aquellas personas que tengan más de 50 cabezas de ganado.</w:t>
      </w:r>
    </w:p>
    <w:p w14:paraId="267B233D" w14:textId="3705251F" w:rsidR="00F41FF0" w:rsidRPr="009C0689" w:rsidRDefault="00467C38" w:rsidP="009C0689">
      <w:pPr>
        <w:spacing w:before="120" w:after="120" w:line="276" w:lineRule="auto"/>
        <w:jc w:val="both"/>
        <w:rPr>
          <w:sz w:val="24"/>
          <w:szCs w:val="24"/>
        </w:rPr>
      </w:pPr>
      <w:r w:rsidRPr="009C0689">
        <w:rPr>
          <w:sz w:val="24"/>
          <w:szCs w:val="24"/>
        </w:rPr>
        <w:t>Otro ejemplo interesante es el departamento del Tolima, allí en la zona sur opera el frente 21 de las FARC. Dicha estructura fue fuertemente golpeada después de la muerte de Alfo</w:t>
      </w:r>
      <w:r w:rsidR="00D20AFA">
        <w:rPr>
          <w:sz w:val="24"/>
          <w:szCs w:val="24"/>
        </w:rPr>
        <w:t>nso</w:t>
      </w:r>
      <w:r w:rsidRPr="009C0689">
        <w:rPr>
          <w:sz w:val="24"/>
          <w:szCs w:val="24"/>
        </w:rPr>
        <w:t xml:space="preserve"> Cano y su capacidad operativa se redujo sustancialmente</w:t>
      </w:r>
      <w:r w:rsidR="00B118FD" w:rsidRPr="009C0689">
        <w:rPr>
          <w:sz w:val="24"/>
          <w:szCs w:val="24"/>
        </w:rPr>
        <w:t xml:space="preserve">. Desde mediado de 2014 el frente 21 ha intentado reagruparse </w:t>
      </w:r>
      <w:r w:rsidR="00D72935" w:rsidRPr="009C0689">
        <w:rPr>
          <w:sz w:val="24"/>
          <w:szCs w:val="24"/>
        </w:rPr>
        <w:t xml:space="preserve">y ello ha incrementado fuertemente las extorsiones en algunas zonas de estos municipios. </w:t>
      </w:r>
      <w:r w:rsidRPr="009C0689">
        <w:rPr>
          <w:sz w:val="24"/>
          <w:szCs w:val="24"/>
        </w:rPr>
        <w:t xml:space="preserve"> </w:t>
      </w:r>
    </w:p>
    <w:p w14:paraId="64274A07" w14:textId="59F34ECB" w:rsidR="009E4119" w:rsidRPr="009C0689" w:rsidRDefault="002B1ADE" w:rsidP="009C0689">
      <w:pPr>
        <w:spacing w:before="120" w:after="120" w:line="276" w:lineRule="auto"/>
        <w:jc w:val="both"/>
        <w:rPr>
          <w:sz w:val="24"/>
          <w:szCs w:val="24"/>
        </w:rPr>
      </w:pPr>
      <w:r w:rsidRPr="009C0689">
        <w:rPr>
          <w:sz w:val="24"/>
          <w:szCs w:val="24"/>
        </w:rPr>
        <w:t xml:space="preserve">Un último tema importante que deja ver la gráfica </w:t>
      </w:r>
      <w:r w:rsidR="00DF7060" w:rsidRPr="009C0689">
        <w:rPr>
          <w:sz w:val="24"/>
          <w:szCs w:val="24"/>
        </w:rPr>
        <w:t xml:space="preserve">sobre tipos de acción son los ataques a la infraestructura petrolera y energética. En este tema llama la atención varios asuntos. Por un lado, al sumar los ataques a la infraestructura petrolera y energética y compararlos entre 2013 y 2014, la cifra es bastante similar, no hay una variación importante. Por otro lado, la cifra estable entre 2013 y 2014 significa que este tipo de acción amada tuvo una mayor participación en el total de acciones de las FARC durante el año 2014. Es decir, a pesar de los 55 días de tregua en el 2014, estas acciones nos disminuyeron como si lo hicieron los combates, hostigamiento o campos minados. </w:t>
      </w:r>
    </w:p>
    <w:p w14:paraId="695A7D34" w14:textId="34537163" w:rsidR="00DF7060" w:rsidRPr="009C0689" w:rsidRDefault="00DF7060" w:rsidP="009C0689">
      <w:pPr>
        <w:spacing w:before="120" w:after="120" w:line="276" w:lineRule="auto"/>
        <w:jc w:val="both"/>
        <w:rPr>
          <w:sz w:val="24"/>
          <w:szCs w:val="24"/>
        </w:rPr>
      </w:pPr>
      <w:r w:rsidRPr="009C0689">
        <w:rPr>
          <w:sz w:val="24"/>
          <w:szCs w:val="24"/>
        </w:rPr>
        <w:t xml:space="preserve">Al discriminar este tipo de ataques a la infraestructura petrolera por región los datos son los siguientes: </w:t>
      </w:r>
    </w:p>
    <w:p w14:paraId="164D33F7" w14:textId="2247F6A3" w:rsidR="00DF7060" w:rsidRPr="009C0689" w:rsidRDefault="00D20AFA" w:rsidP="009C0689">
      <w:pPr>
        <w:spacing w:before="120" w:after="120" w:line="276" w:lineRule="auto"/>
        <w:jc w:val="center"/>
        <w:rPr>
          <w:b/>
          <w:sz w:val="24"/>
          <w:szCs w:val="24"/>
        </w:rPr>
      </w:pPr>
      <w:r>
        <w:rPr>
          <w:b/>
          <w:sz w:val="24"/>
          <w:szCs w:val="24"/>
        </w:rPr>
        <w:t xml:space="preserve">Ataques </w:t>
      </w:r>
      <w:r w:rsidR="00DF7060" w:rsidRPr="009C0689">
        <w:rPr>
          <w:b/>
          <w:sz w:val="24"/>
          <w:szCs w:val="24"/>
        </w:rPr>
        <w:t>infraestructura petrolera</w:t>
      </w:r>
      <w:r w:rsidR="007F045E" w:rsidRPr="009C0689">
        <w:rPr>
          <w:b/>
          <w:sz w:val="24"/>
          <w:szCs w:val="24"/>
        </w:rPr>
        <w:t xml:space="preserve"> 2014</w:t>
      </w:r>
      <w:r w:rsidR="00DF7060" w:rsidRPr="009C0689">
        <w:rPr>
          <w:b/>
          <w:sz w:val="24"/>
          <w:szCs w:val="24"/>
        </w:rPr>
        <w:t>.</w:t>
      </w:r>
    </w:p>
    <w:p w14:paraId="6F160072" w14:textId="45C70AC7" w:rsidR="00DF7060" w:rsidRPr="009C0689" w:rsidRDefault="00DF7060" w:rsidP="009C0689">
      <w:pPr>
        <w:spacing w:before="120" w:after="120" w:line="276" w:lineRule="auto"/>
        <w:jc w:val="center"/>
        <w:rPr>
          <w:b/>
          <w:sz w:val="24"/>
          <w:szCs w:val="24"/>
        </w:rPr>
      </w:pPr>
      <w:r w:rsidRPr="009C0689">
        <w:rPr>
          <w:b/>
          <w:sz w:val="24"/>
          <w:szCs w:val="24"/>
        </w:rPr>
        <w:t xml:space="preserve"> Discriminados por departamento</w:t>
      </w:r>
    </w:p>
    <w:p w14:paraId="46189580" w14:textId="77777777" w:rsidR="009C0689" w:rsidRPr="009C0689" w:rsidRDefault="00DF7060" w:rsidP="009C0689">
      <w:pPr>
        <w:spacing w:before="120" w:after="120" w:line="276" w:lineRule="auto"/>
        <w:jc w:val="center"/>
        <w:rPr>
          <w:rFonts w:eastAsia="Times New Roman" w:cs="Calibri"/>
          <w:b/>
          <w:color w:val="000000"/>
          <w:kern w:val="24"/>
          <w:sz w:val="24"/>
          <w:szCs w:val="24"/>
          <w:lang w:eastAsia="es-CO"/>
        </w:rPr>
      </w:pPr>
      <w:r w:rsidRPr="009C0689">
        <w:rPr>
          <w:noProof/>
          <w:sz w:val="24"/>
          <w:szCs w:val="24"/>
          <w:lang w:eastAsia="es-CO"/>
        </w:rPr>
        <w:drawing>
          <wp:inline distT="0" distB="0" distL="0" distR="0" wp14:anchorId="37A3E7EA" wp14:editId="50A1B2CB">
            <wp:extent cx="4572000" cy="27432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2BFF616" w14:textId="44AE4131" w:rsidR="009C0689" w:rsidRPr="009C0689" w:rsidRDefault="009C0689" w:rsidP="009C0689">
      <w:pPr>
        <w:spacing w:before="120" w:after="120" w:line="276" w:lineRule="auto"/>
        <w:rPr>
          <w:rFonts w:eastAsia="Times New Roman" w:cs="Calibri"/>
          <w:color w:val="000000"/>
          <w:kern w:val="24"/>
          <w:sz w:val="24"/>
          <w:szCs w:val="24"/>
          <w:lang w:eastAsia="es-CO"/>
        </w:rPr>
      </w:pPr>
      <w:r w:rsidRPr="009C0689">
        <w:rPr>
          <w:rFonts w:eastAsia="Times New Roman" w:cs="Calibri"/>
          <w:color w:val="000000"/>
          <w:kern w:val="24"/>
          <w:sz w:val="24"/>
          <w:szCs w:val="24"/>
          <w:lang w:eastAsia="es-CO"/>
        </w:rPr>
        <w:t xml:space="preserve">               Fundación paz y Reconciliación. Banco de datos. </w:t>
      </w:r>
    </w:p>
    <w:p w14:paraId="75345BCE" w14:textId="64F8CC2D" w:rsidR="00297C45" w:rsidRPr="009C0689" w:rsidRDefault="00DF7060" w:rsidP="009C0689">
      <w:pPr>
        <w:spacing w:before="120" w:after="120" w:line="276" w:lineRule="auto"/>
        <w:jc w:val="both"/>
        <w:rPr>
          <w:sz w:val="24"/>
          <w:szCs w:val="24"/>
        </w:rPr>
      </w:pPr>
      <w:r w:rsidRPr="009C0689">
        <w:rPr>
          <w:sz w:val="24"/>
          <w:szCs w:val="24"/>
        </w:rPr>
        <w:t xml:space="preserve">Los departamentos de Putumayo y Norte de Santander </w:t>
      </w:r>
      <w:r w:rsidR="00DB1AAD" w:rsidRPr="009C0689">
        <w:rPr>
          <w:sz w:val="24"/>
          <w:szCs w:val="24"/>
        </w:rPr>
        <w:t xml:space="preserve">prácticamente suman el 80% del total de acciones contra la infraestructura petrolera. El frente 48 atacó sistemáticamente el oleoducto trasandino y a pesar de los esfuerzos de la Fuerza Pública por resguardar esta infraestructura fue prácticamente fallido tal objetivo.  </w:t>
      </w:r>
    </w:p>
    <w:p w14:paraId="74B2DCE0" w14:textId="46F61A48" w:rsidR="00297C45" w:rsidRPr="009C0689" w:rsidRDefault="00DB1AAD" w:rsidP="009C0689">
      <w:pPr>
        <w:spacing w:before="120" w:after="120" w:line="276" w:lineRule="auto"/>
        <w:jc w:val="both"/>
        <w:rPr>
          <w:sz w:val="24"/>
          <w:szCs w:val="24"/>
        </w:rPr>
      </w:pPr>
      <w:r w:rsidRPr="009C0689">
        <w:rPr>
          <w:sz w:val="24"/>
          <w:szCs w:val="24"/>
        </w:rPr>
        <w:t xml:space="preserve">Al discriminar esta misma cifra de ataques por tipo de infraestructura afectada los resultados son los siguientes. </w:t>
      </w:r>
    </w:p>
    <w:p w14:paraId="5B264CEF" w14:textId="148FA3C7" w:rsidR="00DB1AAD" w:rsidRPr="009C0689" w:rsidRDefault="00D20AFA" w:rsidP="009C0689">
      <w:pPr>
        <w:spacing w:before="120" w:after="120" w:line="276" w:lineRule="auto"/>
        <w:jc w:val="center"/>
        <w:rPr>
          <w:b/>
          <w:sz w:val="24"/>
          <w:szCs w:val="24"/>
        </w:rPr>
      </w:pPr>
      <w:r>
        <w:rPr>
          <w:b/>
          <w:sz w:val="24"/>
          <w:szCs w:val="24"/>
        </w:rPr>
        <w:t xml:space="preserve">Ataques </w:t>
      </w:r>
      <w:r w:rsidR="00DB1AAD" w:rsidRPr="009C0689">
        <w:rPr>
          <w:b/>
          <w:sz w:val="24"/>
          <w:szCs w:val="24"/>
        </w:rPr>
        <w:t>infraestructuras petroleras discriminadas por tipo. 2014.</w:t>
      </w:r>
    </w:p>
    <w:tbl>
      <w:tblPr>
        <w:tblStyle w:val="Tabladecuadrcula5oscura-nfasis41"/>
        <w:tblW w:w="2920" w:type="dxa"/>
        <w:jc w:val="center"/>
        <w:tblLook w:val="04A0" w:firstRow="1" w:lastRow="0" w:firstColumn="1" w:lastColumn="0" w:noHBand="0" w:noVBand="1"/>
      </w:tblPr>
      <w:tblGrid>
        <w:gridCol w:w="1720"/>
        <w:gridCol w:w="1200"/>
      </w:tblGrid>
      <w:tr w:rsidR="00DB1AAD" w:rsidRPr="009C0689" w14:paraId="43CA1090" w14:textId="77777777" w:rsidTr="00DB1AAD">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920" w:type="dxa"/>
            <w:gridSpan w:val="2"/>
            <w:hideMark/>
          </w:tcPr>
          <w:p w14:paraId="67625E57" w14:textId="77777777" w:rsidR="00DB1AAD" w:rsidRPr="009C0689" w:rsidRDefault="00DB1AAD" w:rsidP="009C0689">
            <w:pPr>
              <w:spacing w:before="120" w:after="120" w:line="276" w:lineRule="auto"/>
              <w:jc w:val="center"/>
              <w:rPr>
                <w:rFonts w:eastAsia="Times New Roman" w:cs="Times New Roman"/>
                <w:b w:val="0"/>
                <w:bCs w:val="0"/>
                <w:color w:val="000000"/>
                <w:sz w:val="24"/>
                <w:szCs w:val="24"/>
                <w:lang w:eastAsia="es-CO"/>
              </w:rPr>
            </w:pPr>
            <w:r w:rsidRPr="009C0689">
              <w:rPr>
                <w:rFonts w:eastAsia="Times New Roman" w:cs="Times New Roman"/>
                <w:color w:val="000000"/>
                <w:sz w:val="24"/>
                <w:szCs w:val="24"/>
                <w:lang w:eastAsia="es-CO"/>
              </w:rPr>
              <w:t>ATAQUES AIP</w:t>
            </w:r>
          </w:p>
        </w:tc>
      </w:tr>
      <w:tr w:rsidR="00DB1AAD" w:rsidRPr="009C0689" w14:paraId="5AC83E17" w14:textId="77777777" w:rsidTr="00DB1A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hideMark/>
          </w:tcPr>
          <w:p w14:paraId="39EA3FCD" w14:textId="77777777" w:rsidR="00DB1AAD" w:rsidRPr="009C0689" w:rsidRDefault="00DB1AAD"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Oleoducto</w:t>
            </w:r>
          </w:p>
        </w:tc>
        <w:tc>
          <w:tcPr>
            <w:tcW w:w="1200" w:type="dxa"/>
            <w:hideMark/>
          </w:tcPr>
          <w:p w14:paraId="6A9E6CFE" w14:textId="77777777" w:rsidR="00DB1AAD" w:rsidRPr="009C0689" w:rsidRDefault="00DB1AAD" w:rsidP="009C0689">
            <w:pPr>
              <w:spacing w:before="120" w:after="120"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s-CO"/>
              </w:rPr>
            </w:pPr>
            <w:r w:rsidRPr="009C0689">
              <w:rPr>
                <w:rFonts w:eastAsia="Times New Roman" w:cs="Times New Roman"/>
                <w:color w:val="000000"/>
                <w:sz w:val="24"/>
                <w:szCs w:val="24"/>
                <w:lang w:eastAsia="es-CO"/>
              </w:rPr>
              <w:t>58</w:t>
            </w:r>
          </w:p>
        </w:tc>
      </w:tr>
      <w:tr w:rsidR="00DB1AAD" w:rsidRPr="009C0689" w14:paraId="5F27E30D" w14:textId="77777777" w:rsidTr="00DB1AAD">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hideMark/>
          </w:tcPr>
          <w:p w14:paraId="4F02CED2" w14:textId="77777777" w:rsidR="00DB1AAD" w:rsidRPr="009C0689" w:rsidRDefault="00DB1AAD"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Carro Tanque</w:t>
            </w:r>
          </w:p>
        </w:tc>
        <w:tc>
          <w:tcPr>
            <w:tcW w:w="1200" w:type="dxa"/>
            <w:hideMark/>
          </w:tcPr>
          <w:p w14:paraId="39C53FA8" w14:textId="77777777" w:rsidR="00DB1AAD" w:rsidRPr="009C0689" w:rsidRDefault="00DB1AAD" w:rsidP="009C0689">
            <w:pPr>
              <w:spacing w:before="120" w:after="120"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s-CO"/>
              </w:rPr>
            </w:pPr>
            <w:r w:rsidRPr="009C0689">
              <w:rPr>
                <w:rFonts w:eastAsia="Times New Roman" w:cs="Times New Roman"/>
                <w:color w:val="000000"/>
                <w:sz w:val="24"/>
                <w:szCs w:val="24"/>
                <w:lang w:eastAsia="es-CO"/>
              </w:rPr>
              <w:t>61</w:t>
            </w:r>
          </w:p>
        </w:tc>
      </w:tr>
      <w:tr w:rsidR="00DB1AAD" w:rsidRPr="009C0689" w14:paraId="6B578280" w14:textId="77777777" w:rsidTr="00DB1A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hideMark/>
          </w:tcPr>
          <w:p w14:paraId="183E4D74" w14:textId="77777777" w:rsidR="00DB1AAD" w:rsidRPr="009C0689" w:rsidRDefault="00DB1AAD"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Maquinaria</w:t>
            </w:r>
          </w:p>
        </w:tc>
        <w:tc>
          <w:tcPr>
            <w:tcW w:w="1200" w:type="dxa"/>
            <w:hideMark/>
          </w:tcPr>
          <w:p w14:paraId="292E2BEA" w14:textId="77777777" w:rsidR="00DB1AAD" w:rsidRPr="009C0689" w:rsidRDefault="00DB1AAD" w:rsidP="009C0689">
            <w:pPr>
              <w:spacing w:before="120" w:after="120"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s-CO"/>
              </w:rPr>
            </w:pPr>
            <w:r w:rsidRPr="009C0689">
              <w:rPr>
                <w:rFonts w:eastAsia="Times New Roman" w:cs="Times New Roman"/>
                <w:color w:val="000000"/>
                <w:sz w:val="24"/>
                <w:szCs w:val="24"/>
                <w:lang w:eastAsia="es-CO"/>
              </w:rPr>
              <w:t>1</w:t>
            </w:r>
          </w:p>
        </w:tc>
      </w:tr>
      <w:tr w:rsidR="00DB1AAD" w:rsidRPr="009C0689" w14:paraId="5938C0F7" w14:textId="77777777" w:rsidTr="00DB1AAD">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hideMark/>
          </w:tcPr>
          <w:p w14:paraId="1736682E" w14:textId="77777777" w:rsidR="00DB1AAD" w:rsidRPr="009C0689" w:rsidRDefault="00DB1AAD"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 xml:space="preserve">Personal </w:t>
            </w:r>
          </w:p>
        </w:tc>
        <w:tc>
          <w:tcPr>
            <w:tcW w:w="1200" w:type="dxa"/>
            <w:hideMark/>
          </w:tcPr>
          <w:p w14:paraId="1D4773F8" w14:textId="77777777" w:rsidR="00DB1AAD" w:rsidRPr="009C0689" w:rsidRDefault="00DB1AAD" w:rsidP="009C0689">
            <w:pPr>
              <w:spacing w:before="120" w:after="120"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s-CO"/>
              </w:rPr>
            </w:pPr>
            <w:r w:rsidRPr="009C0689">
              <w:rPr>
                <w:rFonts w:eastAsia="Times New Roman" w:cs="Times New Roman"/>
                <w:color w:val="000000"/>
                <w:sz w:val="24"/>
                <w:szCs w:val="24"/>
                <w:lang w:eastAsia="es-CO"/>
              </w:rPr>
              <w:t>19</w:t>
            </w:r>
          </w:p>
        </w:tc>
      </w:tr>
      <w:tr w:rsidR="00DB1AAD" w:rsidRPr="009C0689" w14:paraId="332B3F4D" w14:textId="77777777" w:rsidTr="00DB1A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hideMark/>
          </w:tcPr>
          <w:p w14:paraId="714FB5B2" w14:textId="77777777" w:rsidR="00DB1AAD" w:rsidRPr="009C0689" w:rsidRDefault="00DB1AAD"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Instalaciones</w:t>
            </w:r>
          </w:p>
        </w:tc>
        <w:tc>
          <w:tcPr>
            <w:tcW w:w="1200" w:type="dxa"/>
            <w:hideMark/>
          </w:tcPr>
          <w:p w14:paraId="19FA5212" w14:textId="77777777" w:rsidR="00DB1AAD" w:rsidRPr="009C0689" w:rsidRDefault="00DB1AAD" w:rsidP="009C0689">
            <w:pPr>
              <w:spacing w:before="120" w:after="120"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s-CO"/>
              </w:rPr>
            </w:pPr>
            <w:r w:rsidRPr="009C0689">
              <w:rPr>
                <w:rFonts w:eastAsia="Times New Roman" w:cs="Times New Roman"/>
                <w:color w:val="000000"/>
                <w:sz w:val="24"/>
                <w:szCs w:val="24"/>
                <w:lang w:eastAsia="es-CO"/>
              </w:rPr>
              <w:t>8</w:t>
            </w:r>
          </w:p>
        </w:tc>
      </w:tr>
      <w:tr w:rsidR="00DB1AAD" w:rsidRPr="009C0689" w14:paraId="77A4350A" w14:textId="77777777" w:rsidTr="00DB1AAD">
        <w:trPr>
          <w:trHeight w:val="300"/>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D2840BF" w14:textId="77777777" w:rsidR="00DB1AAD" w:rsidRPr="009C0689" w:rsidRDefault="00DB1AAD"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Gasoducto</w:t>
            </w:r>
          </w:p>
        </w:tc>
        <w:tc>
          <w:tcPr>
            <w:tcW w:w="1200" w:type="dxa"/>
            <w:hideMark/>
          </w:tcPr>
          <w:p w14:paraId="2C4895B6" w14:textId="77777777" w:rsidR="00DB1AAD" w:rsidRPr="009C0689" w:rsidRDefault="00DB1AAD" w:rsidP="009C0689">
            <w:pPr>
              <w:spacing w:before="120" w:after="120"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s-CO"/>
              </w:rPr>
            </w:pPr>
            <w:r w:rsidRPr="009C0689">
              <w:rPr>
                <w:rFonts w:eastAsia="Times New Roman" w:cs="Times New Roman"/>
                <w:color w:val="000000"/>
                <w:sz w:val="24"/>
                <w:szCs w:val="24"/>
                <w:lang w:eastAsia="es-CO"/>
              </w:rPr>
              <w:t>2</w:t>
            </w:r>
          </w:p>
        </w:tc>
      </w:tr>
      <w:tr w:rsidR="00DB1AAD" w:rsidRPr="009C0689" w14:paraId="78ADF817" w14:textId="77777777" w:rsidTr="00DB1A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193BD3C" w14:textId="77777777" w:rsidR="00DB1AAD" w:rsidRPr="009C0689" w:rsidRDefault="00DB1AAD"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Pozos</w:t>
            </w:r>
          </w:p>
        </w:tc>
        <w:tc>
          <w:tcPr>
            <w:tcW w:w="1200" w:type="dxa"/>
            <w:hideMark/>
          </w:tcPr>
          <w:p w14:paraId="4BCFA9B2" w14:textId="77777777" w:rsidR="00DB1AAD" w:rsidRPr="009C0689" w:rsidRDefault="00DB1AAD" w:rsidP="009C0689">
            <w:pPr>
              <w:spacing w:before="120" w:after="120"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s-CO"/>
              </w:rPr>
            </w:pPr>
            <w:r w:rsidRPr="009C0689">
              <w:rPr>
                <w:rFonts w:eastAsia="Times New Roman" w:cs="Times New Roman"/>
                <w:color w:val="000000"/>
                <w:sz w:val="24"/>
                <w:szCs w:val="24"/>
                <w:lang w:eastAsia="es-CO"/>
              </w:rPr>
              <w:t>4</w:t>
            </w:r>
          </w:p>
        </w:tc>
      </w:tr>
    </w:tbl>
    <w:p w14:paraId="45136FCF" w14:textId="77777777" w:rsidR="00DB1AAD" w:rsidRPr="009C0689" w:rsidRDefault="00DB1AAD" w:rsidP="009C0689">
      <w:pPr>
        <w:spacing w:before="120" w:after="120" w:line="276" w:lineRule="auto"/>
        <w:rPr>
          <w:b/>
          <w:sz w:val="24"/>
          <w:szCs w:val="24"/>
        </w:rPr>
      </w:pPr>
    </w:p>
    <w:p w14:paraId="37BDBE74" w14:textId="1C6840E9" w:rsidR="00DB1AAD" w:rsidRPr="009C0689" w:rsidRDefault="00221BC8" w:rsidP="009C0689">
      <w:pPr>
        <w:spacing w:before="120" w:after="120" w:line="276" w:lineRule="auto"/>
        <w:jc w:val="both"/>
        <w:rPr>
          <w:sz w:val="24"/>
          <w:szCs w:val="24"/>
        </w:rPr>
      </w:pPr>
      <w:r w:rsidRPr="009C0689">
        <w:rPr>
          <w:sz w:val="24"/>
          <w:szCs w:val="24"/>
        </w:rPr>
        <w:t xml:space="preserve">En el año 2013 los resultados habían sido significativamente diferentes, como los muestra la siguiente gráfica. </w:t>
      </w:r>
    </w:p>
    <w:p w14:paraId="01BAA4E2" w14:textId="195C35D4" w:rsidR="00221BC8" w:rsidRPr="009C0689" w:rsidRDefault="00221BC8" w:rsidP="009C0689">
      <w:pPr>
        <w:spacing w:before="120" w:after="120" w:line="276" w:lineRule="auto"/>
        <w:jc w:val="center"/>
        <w:rPr>
          <w:rFonts w:eastAsia="Times New Roman" w:cs="Calibri"/>
          <w:b/>
          <w:color w:val="000000"/>
          <w:kern w:val="24"/>
          <w:sz w:val="24"/>
          <w:szCs w:val="24"/>
          <w:lang w:eastAsia="es-CO"/>
        </w:rPr>
      </w:pPr>
      <w:r w:rsidRPr="009C0689">
        <w:rPr>
          <w:rFonts w:eastAsia="Times New Roman" w:cs="Calibri"/>
          <w:b/>
          <w:color w:val="000000"/>
          <w:kern w:val="24"/>
          <w:sz w:val="24"/>
          <w:szCs w:val="24"/>
          <w:lang w:eastAsia="es-CO"/>
        </w:rPr>
        <w:t>Acciones de las FARC contra la Infraestructura petrolera. 2013.</w:t>
      </w:r>
    </w:p>
    <w:p w14:paraId="70542ECA" w14:textId="77777777" w:rsidR="00221BC8" w:rsidRPr="009C0689" w:rsidRDefault="00221BC8" w:rsidP="009C0689">
      <w:pPr>
        <w:spacing w:before="120" w:after="120" w:line="276" w:lineRule="auto"/>
        <w:jc w:val="center"/>
        <w:rPr>
          <w:rFonts w:eastAsia="Times New Roman" w:cs="Calibri"/>
          <w:color w:val="000000"/>
          <w:kern w:val="24"/>
          <w:sz w:val="24"/>
          <w:szCs w:val="24"/>
          <w:lang w:eastAsia="es-CO"/>
        </w:rPr>
      </w:pPr>
      <w:r w:rsidRPr="009C0689">
        <w:rPr>
          <w:rFonts w:eastAsia="Calibri" w:cs="Times New Roman"/>
          <w:noProof/>
          <w:sz w:val="24"/>
          <w:szCs w:val="24"/>
          <w:lang w:eastAsia="es-CO"/>
        </w:rPr>
        <w:drawing>
          <wp:inline distT="0" distB="0" distL="0" distR="0" wp14:anchorId="10E549A2" wp14:editId="2A491429">
            <wp:extent cx="4572000" cy="1781033"/>
            <wp:effectExtent l="0" t="0" r="0" b="1016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403565" w14:textId="68940088" w:rsidR="00DB1AAD" w:rsidRPr="009C0689" w:rsidRDefault="00221BC8" w:rsidP="009C0689">
      <w:pPr>
        <w:spacing w:before="120" w:after="120" w:line="276" w:lineRule="auto"/>
        <w:jc w:val="both"/>
        <w:rPr>
          <w:sz w:val="24"/>
          <w:szCs w:val="24"/>
        </w:rPr>
      </w:pPr>
      <w:r w:rsidRPr="009C0689">
        <w:rPr>
          <w:rFonts w:eastAsia="Times New Roman" w:cs="Calibri"/>
          <w:color w:val="000000"/>
          <w:kern w:val="24"/>
          <w:sz w:val="24"/>
          <w:szCs w:val="24"/>
          <w:lang w:eastAsia="es-CO"/>
        </w:rPr>
        <w:t xml:space="preserve">                    </w:t>
      </w:r>
      <w:r w:rsidRPr="009C0689">
        <w:rPr>
          <w:rFonts w:eastAsia="Times New Roman" w:cs="Calibri"/>
          <w:i/>
          <w:color w:val="000000"/>
          <w:kern w:val="24"/>
          <w:sz w:val="24"/>
          <w:szCs w:val="24"/>
          <w:lang w:eastAsia="es-CO"/>
        </w:rPr>
        <w:t>Base de datos Fundación paz y reconciliación</w:t>
      </w:r>
    </w:p>
    <w:p w14:paraId="0CD08513" w14:textId="3B4F720B" w:rsidR="00297C45" w:rsidRPr="009C0689" w:rsidRDefault="00221BC8" w:rsidP="009C0689">
      <w:pPr>
        <w:spacing w:before="120" w:after="120" w:line="276" w:lineRule="auto"/>
        <w:jc w:val="both"/>
        <w:rPr>
          <w:sz w:val="24"/>
          <w:szCs w:val="24"/>
        </w:rPr>
      </w:pPr>
      <w:r w:rsidRPr="009C0689">
        <w:rPr>
          <w:sz w:val="24"/>
          <w:szCs w:val="24"/>
        </w:rPr>
        <w:t xml:space="preserve">Nótese como en 2014 aumentó significativamente los ataques a carro tanques, mientras que los ataques a oleoductos descendieron </w:t>
      </w:r>
      <w:r w:rsidR="004243E4" w:rsidRPr="009C0689">
        <w:rPr>
          <w:sz w:val="24"/>
          <w:szCs w:val="24"/>
        </w:rPr>
        <w:t>igualmente de forma importante.</w:t>
      </w:r>
      <w:r w:rsidRPr="009C0689">
        <w:rPr>
          <w:sz w:val="24"/>
          <w:szCs w:val="24"/>
        </w:rPr>
        <w:t xml:space="preserve"> </w:t>
      </w:r>
      <w:r w:rsidR="004243E4" w:rsidRPr="009C0689">
        <w:rPr>
          <w:sz w:val="24"/>
          <w:szCs w:val="24"/>
        </w:rPr>
        <w:t xml:space="preserve">Esta situación muestra como la estrategia de “guías” le ha permitido a esta guerrilla mantener una red de inteligencia en terreno que le permite atacar estos carros tanques. Al discriminar los mismos datos por Bloque de las FARC que realizaron los ataques los resultados son los siguientes. </w:t>
      </w:r>
    </w:p>
    <w:p w14:paraId="706DE478" w14:textId="1A32F84E" w:rsidR="004243E4" w:rsidRPr="009C0689" w:rsidRDefault="00D20AFA" w:rsidP="009C0689">
      <w:pPr>
        <w:spacing w:before="120" w:after="120" w:line="276" w:lineRule="auto"/>
        <w:jc w:val="center"/>
        <w:rPr>
          <w:b/>
          <w:sz w:val="24"/>
          <w:szCs w:val="24"/>
        </w:rPr>
      </w:pPr>
      <w:r>
        <w:rPr>
          <w:b/>
          <w:sz w:val="24"/>
          <w:szCs w:val="24"/>
        </w:rPr>
        <w:t xml:space="preserve">Ataques </w:t>
      </w:r>
      <w:r w:rsidR="004243E4" w:rsidRPr="009C0689">
        <w:rPr>
          <w:b/>
          <w:sz w:val="24"/>
          <w:szCs w:val="24"/>
        </w:rPr>
        <w:t>infraestructuras petroleras discriminadas por Bloque</w:t>
      </w:r>
    </w:p>
    <w:tbl>
      <w:tblPr>
        <w:tblW w:w="5520" w:type="dxa"/>
        <w:jc w:val="center"/>
        <w:tblCellMar>
          <w:left w:w="70" w:type="dxa"/>
          <w:right w:w="70" w:type="dxa"/>
        </w:tblCellMar>
        <w:tblLook w:val="04A0" w:firstRow="1" w:lastRow="0" w:firstColumn="1" w:lastColumn="0" w:noHBand="0" w:noVBand="1"/>
      </w:tblPr>
      <w:tblGrid>
        <w:gridCol w:w="2716"/>
        <w:gridCol w:w="1216"/>
        <w:gridCol w:w="1588"/>
      </w:tblGrid>
      <w:tr w:rsidR="004243E4" w:rsidRPr="009C0689" w14:paraId="435814AB" w14:textId="77777777" w:rsidTr="00CE1F1F">
        <w:trPr>
          <w:trHeight w:val="750"/>
          <w:jc w:val="center"/>
        </w:trPr>
        <w:tc>
          <w:tcPr>
            <w:tcW w:w="2716" w:type="dxa"/>
            <w:tcBorders>
              <w:top w:val="nil"/>
              <w:left w:val="nil"/>
              <w:bottom w:val="nil"/>
              <w:right w:val="nil"/>
            </w:tcBorders>
            <w:shd w:val="clear" w:color="auto" w:fill="auto"/>
            <w:noWrap/>
            <w:vAlign w:val="bottom"/>
            <w:hideMark/>
          </w:tcPr>
          <w:p w14:paraId="42E2C1C9" w14:textId="77777777" w:rsidR="004243E4" w:rsidRPr="009C0689" w:rsidRDefault="004243E4" w:rsidP="009C0689">
            <w:pPr>
              <w:spacing w:before="120" w:after="120" w:line="276" w:lineRule="auto"/>
              <w:rPr>
                <w:rFonts w:eastAsia="Times New Roman" w:cs="Times New Roman"/>
                <w:sz w:val="24"/>
                <w:szCs w:val="24"/>
                <w:lang w:eastAsia="es-CO"/>
              </w:rPr>
            </w:pPr>
          </w:p>
        </w:tc>
        <w:tc>
          <w:tcPr>
            <w:tcW w:w="1216" w:type="dxa"/>
            <w:tcBorders>
              <w:top w:val="nil"/>
              <w:left w:val="nil"/>
              <w:bottom w:val="nil"/>
              <w:right w:val="nil"/>
            </w:tcBorders>
            <w:shd w:val="clear" w:color="auto" w:fill="auto"/>
            <w:noWrap/>
            <w:vAlign w:val="bottom"/>
            <w:hideMark/>
          </w:tcPr>
          <w:p w14:paraId="10310EF8" w14:textId="77777777" w:rsidR="004243E4" w:rsidRPr="009C0689" w:rsidRDefault="004243E4" w:rsidP="009C0689">
            <w:pPr>
              <w:spacing w:before="120" w:after="120" w:line="276" w:lineRule="auto"/>
              <w:jc w:val="center"/>
              <w:rPr>
                <w:rFonts w:eastAsia="Times New Roman" w:cs="Times New Roman"/>
                <w:sz w:val="24"/>
                <w:szCs w:val="24"/>
                <w:lang w:eastAsia="es-CO"/>
              </w:rPr>
            </w:pPr>
          </w:p>
        </w:tc>
        <w:tc>
          <w:tcPr>
            <w:tcW w:w="15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17F67E" w14:textId="77777777" w:rsidR="004243E4" w:rsidRPr="009C0689" w:rsidRDefault="004243E4"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 Ataques</w:t>
            </w:r>
          </w:p>
        </w:tc>
      </w:tr>
      <w:tr w:rsidR="004243E4" w:rsidRPr="009C0689" w14:paraId="1237DCAC" w14:textId="77777777" w:rsidTr="00CE1F1F">
        <w:trPr>
          <w:trHeight w:val="420"/>
          <w:jc w:val="center"/>
        </w:trPr>
        <w:tc>
          <w:tcPr>
            <w:tcW w:w="2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DB63F"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Bloque Jorge Briceño</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14:paraId="7FE5455B" w14:textId="77777777" w:rsidR="004243E4" w:rsidRPr="009C0689" w:rsidRDefault="004243E4"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BCJB</w:t>
            </w:r>
          </w:p>
        </w:tc>
        <w:tc>
          <w:tcPr>
            <w:tcW w:w="1588" w:type="dxa"/>
            <w:tcBorders>
              <w:top w:val="nil"/>
              <w:left w:val="nil"/>
              <w:bottom w:val="single" w:sz="4" w:space="0" w:color="auto"/>
              <w:right w:val="single" w:sz="4" w:space="0" w:color="auto"/>
            </w:tcBorders>
            <w:shd w:val="clear" w:color="auto" w:fill="auto"/>
            <w:noWrap/>
            <w:vAlign w:val="bottom"/>
            <w:hideMark/>
          </w:tcPr>
          <w:p w14:paraId="19A2B649" w14:textId="77777777" w:rsidR="004243E4" w:rsidRPr="009C0689" w:rsidRDefault="004243E4"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18</w:t>
            </w:r>
          </w:p>
        </w:tc>
      </w:tr>
      <w:tr w:rsidR="004243E4" w:rsidRPr="009C0689" w14:paraId="4DF2C83E" w14:textId="77777777" w:rsidTr="00CE1F1F">
        <w:trPr>
          <w:trHeight w:val="300"/>
          <w:jc w:val="center"/>
        </w:trPr>
        <w:tc>
          <w:tcPr>
            <w:tcW w:w="2716" w:type="dxa"/>
            <w:tcBorders>
              <w:top w:val="nil"/>
              <w:left w:val="single" w:sz="4" w:space="0" w:color="auto"/>
              <w:bottom w:val="single" w:sz="4" w:space="0" w:color="auto"/>
              <w:right w:val="single" w:sz="4" w:space="0" w:color="auto"/>
            </w:tcBorders>
            <w:shd w:val="clear" w:color="auto" w:fill="auto"/>
            <w:noWrap/>
            <w:vAlign w:val="bottom"/>
            <w:hideMark/>
          </w:tcPr>
          <w:p w14:paraId="04197746"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Bloque Alfonso Cano</w:t>
            </w:r>
          </w:p>
        </w:tc>
        <w:tc>
          <w:tcPr>
            <w:tcW w:w="1216" w:type="dxa"/>
            <w:tcBorders>
              <w:top w:val="nil"/>
              <w:left w:val="nil"/>
              <w:bottom w:val="single" w:sz="4" w:space="0" w:color="auto"/>
              <w:right w:val="single" w:sz="4" w:space="0" w:color="auto"/>
            </w:tcBorders>
            <w:shd w:val="clear" w:color="auto" w:fill="auto"/>
            <w:noWrap/>
            <w:vAlign w:val="bottom"/>
            <w:hideMark/>
          </w:tcPr>
          <w:p w14:paraId="6001622A" w14:textId="77777777" w:rsidR="004243E4" w:rsidRPr="009C0689" w:rsidRDefault="004243E4"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BCAC</w:t>
            </w:r>
          </w:p>
        </w:tc>
        <w:tc>
          <w:tcPr>
            <w:tcW w:w="1588" w:type="dxa"/>
            <w:tcBorders>
              <w:top w:val="nil"/>
              <w:left w:val="nil"/>
              <w:bottom w:val="single" w:sz="4" w:space="0" w:color="auto"/>
              <w:right w:val="single" w:sz="4" w:space="0" w:color="auto"/>
            </w:tcBorders>
            <w:shd w:val="clear" w:color="auto" w:fill="auto"/>
            <w:noWrap/>
            <w:vAlign w:val="bottom"/>
            <w:hideMark/>
          </w:tcPr>
          <w:p w14:paraId="301FC5C4" w14:textId="77777777" w:rsidR="004243E4" w:rsidRPr="009C0689" w:rsidRDefault="004243E4"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16</w:t>
            </w:r>
          </w:p>
        </w:tc>
      </w:tr>
      <w:tr w:rsidR="004243E4" w:rsidRPr="009C0689" w14:paraId="22A45DB2" w14:textId="77777777" w:rsidTr="00CE1F1F">
        <w:trPr>
          <w:trHeight w:val="300"/>
          <w:jc w:val="center"/>
        </w:trPr>
        <w:tc>
          <w:tcPr>
            <w:tcW w:w="2716" w:type="dxa"/>
            <w:tcBorders>
              <w:top w:val="nil"/>
              <w:left w:val="single" w:sz="4" w:space="0" w:color="auto"/>
              <w:bottom w:val="single" w:sz="4" w:space="0" w:color="auto"/>
              <w:right w:val="single" w:sz="4" w:space="0" w:color="auto"/>
            </w:tcBorders>
            <w:shd w:val="clear" w:color="auto" w:fill="auto"/>
            <w:noWrap/>
            <w:vAlign w:val="bottom"/>
            <w:hideMark/>
          </w:tcPr>
          <w:p w14:paraId="75F8DCC5"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Comando Conjunto Central</w:t>
            </w:r>
          </w:p>
        </w:tc>
        <w:tc>
          <w:tcPr>
            <w:tcW w:w="1216" w:type="dxa"/>
            <w:tcBorders>
              <w:top w:val="nil"/>
              <w:left w:val="nil"/>
              <w:bottom w:val="single" w:sz="4" w:space="0" w:color="auto"/>
              <w:right w:val="single" w:sz="4" w:space="0" w:color="auto"/>
            </w:tcBorders>
            <w:shd w:val="clear" w:color="auto" w:fill="auto"/>
            <w:noWrap/>
            <w:vAlign w:val="bottom"/>
            <w:hideMark/>
          </w:tcPr>
          <w:p w14:paraId="673A6122" w14:textId="77777777" w:rsidR="004243E4" w:rsidRPr="009C0689" w:rsidRDefault="004243E4"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CCC</w:t>
            </w:r>
          </w:p>
        </w:tc>
        <w:tc>
          <w:tcPr>
            <w:tcW w:w="1588" w:type="dxa"/>
            <w:tcBorders>
              <w:top w:val="nil"/>
              <w:left w:val="nil"/>
              <w:bottom w:val="single" w:sz="4" w:space="0" w:color="auto"/>
              <w:right w:val="single" w:sz="4" w:space="0" w:color="auto"/>
            </w:tcBorders>
            <w:shd w:val="clear" w:color="auto" w:fill="auto"/>
            <w:noWrap/>
            <w:vAlign w:val="bottom"/>
            <w:hideMark/>
          </w:tcPr>
          <w:p w14:paraId="45AD4106"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 </w:t>
            </w:r>
          </w:p>
        </w:tc>
      </w:tr>
      <w:tr w:rsidR="004243E4" w:rsidRPr="009C0689" w14:paraId="60B8D519" w14:textId="77777777" w:rsidTr="00CE1F1F">
        <w:trPr>
          <w:trHeight w:val="300"/>
          <w:jc w:val="center"/>
        </w:trPr>
        <w:tc>
          <w:tcPr>
            <w:tcW w:w="2716" w:type="dxa"/>
            <w:tcBorders>
              <w:top w:val="nil"/>
              <w:left w:val="single" w:sz="4" w:space="0" w:color="auto"/>
              <w:bottom w:val="single" w:sz="4" w:space="0" w:color="auto"/>
              <w:right w:val="single" w:sz="4" w:space="0" w:color="auto"/>
            </w:tcBorders>
            <w:shd w:val="clear" w:color="auto" w:fill="auto"/>
            <w:noWrap/>
            <w:vAlign w:val="bottom"/>
            <w:hideMark/>
          </w:tcPr>
          <w:p w14:paraId="16AB3954"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Bloque Magdalena Medio</w:t>
            </w:r>
          </w:p>
        </w:tc>
        <w:tc>
          <w:tcPr>
            <w:tcW w:w="1216" w:type="dxa"/>
            <w:tcBorders>
              <w:top w:val="nil"/>
              <w:left w:val="nil"/>
              <w:bottom w:val="single" w:sz="4" w:space="0" w:color="auto"/>
              <w:right w:val="single" w:sz="4" w:space="0" w:color="auto"/>
            </w:tcBorders>
            <w:shd w:val="clear" w:color="auto" w:fill="auto"/>
            <w:noWrap/>
            <w:vAlign w:val="bottom"/>
            <w:hideMark/>
          </w:tcPr>
          <w:p w14:paraId="41C2FFD1" w14:textId="77777777" w:rsidR="004243E4" w:rsidRPr="009C0689" w:rsidRDefault="004243E4"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BMM</w:t>
            </w:r>
          </w:p>
        </w:tc>
        <w:tc>
          <w:tcPr>
            <w:tcW w:w="1588" w:type="dxa"/>
            <w:tcBorders>
              <w:top w:val="nil"/>
              <w:left w:val="nil"/>
              <w:bottom w:val="single" w:sz="4" w:space="0" w:color="auto"/>
              <w:right w:val="single" w:sz="4" w:space="0" w:color="auto"/>
            </w:tcBorders>
            <w:shd w:val="clear" w:color="auto" w:fill="auto"/>
            <w:noWrap/>
            <w:vAlign w:val="bottom"/>
            <w:hideMark/>
          </w:tcPr>
          <w:p w14:paraId="70DCC685" w14:textId="77777777" w:rsidR="004243E4" w:rsidRPr="009C0689" w:rsidRDefault="004243E4"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20</w:t>
            </w:r>
          </w:p>
        </w:tc>
      </w:tr>
      <w:tr w:rsidR="004243E4" w:rsidRPr="009C0689" w14:paraId="32E690C0" w14:textId="77777777" w:rsidTr="00CE1F1F">
        <w:trPr>
          <w:trHeight w:val="300"/>
          <w:jc w:val="center"/>
        </w:trPr>
        <w:tc>
          <w:tcPr>
            <w:tcW w:w="2716" w:type="dxa"/>
            <w:tcBorders>
              <w:top w:val="nil"/>
              <w:left w:val="single" w:sz="4" w:space="0" w:color="auto"/>
              <w:bottom w:val="single" w:sz="4" w:space="0" w:color="auto"/>
              <w:right w:val="single" w:sz="4" w:space="0" w:color="auto"/>
            </w:tcBorders>
            <w:shd w:val="clear" w:color="auto" w:fill="auto"/>
            <w:noWrap/>
            <w:vAlign w:val="bottom"/>
            <w:hideMark/>
          </w:tcPr>
          <w:p w14:paraId="2DD418CB"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Bloque Martin Caballero</w:t>
            </w:r>
          </w:p>
        </w:tc>
        <w:tc>
          <w:tcPr>
            <w:tcW w:w="1216" w:type="dxa"/>
            <w:tcBorders>
              <w:top w:val="nil"/>
              <w:left w:val="nil"/>
              <w:bottom w:val="single" w:sz="4" w:space="0" w:color="auto"/>
              <w:right w:val="single" w:sz="4" w:space="0" w:color="auto"/>
            </w:tcBorders>
            <w:shd w:val="clear" w:color="auto" w:fill="auto"/>
            <w:noWrap/>
            <w:vAlign w:val="bottom"/>
            <w:hideMark/>
          </w:tcPr>
          <w:p w14:paraId="3CC7EF20" w14:textId="77777777" w:rsidR="004243E4" w:rsidRPr="009C0689" w:rsidRDefault="004243E4"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BMC</w:t>
            </w:r>
          </w:p>
        </w:tc>
        <w:tc>
          <w:tcPr>
            <w:tcW w:w="1588" w:type="dxa"/>
            <w:tcBorders>
              <w:top w:val="nil"/>
              <w:left w:val="nil"/>
              <w:bottom w:val="single" w:sz="4" w:space="0" w:color="auto"/>
              <w:right w:val="single" w:sz="4" w:space="0" w:color="auto"/>
            </w:tcBorders>
            <w:shd w:val="clear" w:color="auto" w:fill="auto"/>
            <w:noWrap/>
            <w:vAlign w:val="bottom"/>
            <w:hideMark/>
          </w:tcPr>
          <w:p w14:paraId="5D2D6E1F"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 </w:t>
            </w:r>
          </w:p>
        </w:tc>
      </w:tr>
      <w:tr w:rsidR="004243E4" w:rsidRPr="009C0689" w14:paraId="15ADCE16" w14:textId="77777777" w:rsidTr="00CE1F1F">
        <w:trPr>
          <w:trHeight w:val="300"/>
          <w:jc w:val="center"/>
        </w:trPr>
        <w:tc>
          <w:tcPr>
            <w:tcW w:w="2716" w:type="dxa"/>
            <w:tcBorders>
              <w:top w:val="nil"/>
              <w:left w:val="single" w:sz="4" w:space="0" w:color="auto"/>
              <w:bottom w:val="single" w:sz="4" w:space="0" w:color="auto"/>
              <w:right w:val="single" w:sz="4" w:space="0" w:color="auto"/>
            </w:tcBorders>
            <w:shd w:val="clear" w:color="auto" w:fill="auto"/>
            <w:noWrap/>
            <w:vAlign w:val="bottom"/>
            <w:hideMark/>
          </w:tcPr>
          <w:p w14:paraId="524BE865" w14:textId="03452FD5"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 xml:space="preserve">Bloque </w:t>
            </w:r>
            <w:r w:rsidR="007F045E" w:rsidRPr="009C0689">
              <w:rPr>
                <w:rFonts w:eastAsia="Times New Roman" w:cs="Times New Roman"/>
                <w:color w:val="000000"/>
                <w:sz w:val="24"/>
                <w:szCs w:val="24"/>
                <w:lang w:eastAsia="es-CO"/>
              </w:rPr>
              <w:t>Iván</w:t>
            </w:r>
            <w:r w:rsidRPr="009C0689">
              <w:rPr>
                <w:rFonts w:eastAsia="Times New Roman" w:cs="Times New Roman"/>
                <w:color w:val="000000"/>
                <w:sz w:val="24"/>
                <w:szCs w:val="24"/>
                <w:lang w:eastAsia="es-CO"/>
              </w:rPr>
              <w:t xml:space="preserve"> </w:t>
            </w:r>
            <w:r w:rsidR="007F045E" w:rsidRPr="009C0689">
              <w:rPr>
                <w:rFonts w:eastAsia="Times New Roman" w:cs="Times New Roman"/>
                <w:color w:val="000000"/>
                <w:sz w:val="24"/>
                <w:szCs w:val="24"/>
                <w:lang w:eastAsia="es-CO"/>
              </w:rPr>
              <w:t>Ríos</w:t>
            </w:r>
          </w:p>
        </w:tc>
        <w:tc>
          <w:tcPr>
            <w:tcW w:w="1216" w:type="dxa"/>
            <w:tcBorders>
              <w:top w:val="nil"/>
              <w:left w:val="nil"/>
              <w:bottom w:val="single" w:sz="4" w:space="0" w:color="auto"/>
              <w:right w:val="single" w:sz="4" w:space="0" w:color="auto"/>
            </w:tcBorders>
            <w:shd w:val="clear" w:color="auto" w:fill="auto"/>
            <w:noWrap/>
            <w:vAlign w:val="bottom"/>
            <w:hideMark/>
          </w:tcPr>
          <w:p w14:paraId="451F51F1" w14:textId="77777777" w:rsidR="004243E4" w:rsidRPr="009C0689" w:rsidRDefault="004243E4"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BCIR</w:t>
            </w:r>
          </w:p>
        </w:tc>
        <w:tc>
          <w:tcPr>
            <w:tcW w:w="1588" w:type="dxa"/>
            <w:tcBorders>
              <w:top w:val="nil"/>
              <w:left w:val="nil"/>
              <w:bottom w:val="single" w:sz="4" w:space="0" w:color="auto"/>
              <w:right w:val="single" w:sz="4" w:space="0" w:color="auto"/>
            </w:tcBorders>
            <w:shd w:val="clear" w:color="auto" w:fill="auto"/>
            <w:noWrap/>
            <w:vAlign w:val="bottom"/>
            <w:hideMark/>
          </w:tcPr>
          <w:p w14:paraId="5D976FED"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 </w:t>
            </w:r>
          </w:p>
        </w:tc>
      </w:tr>
      <w:tr w:rsidR="004243E4" w:rsidRPr="009C0689" w14:paraId="5DB9952C" w14:textId="77777777" w:rsidTr="00CE1F1F">
        <w:trPr>
          <w:trHeight w:val="300"/>
          <w:jc w:val="center"/>
        </w:trPr>
        <w:tc>
          <w:tcPr>
            <w:tcW w:w="2716" w:type="dxa"/>
            <w:tcBorders>
              <w:top w:val="nil"/>
              <w:left w:val="single" w:sz="4" w:space="0" w:color="auto"/>
              <w:bottom w:val="single" w:sz="4" w:space="0" w:color="auto"/>
              <w:right w:val="single" w:sz="4" w:space="0" w:color="auto"/>
            </w:tcBorders>
            <w:shd w:val="clear" w:color="auto" w:fill="auto"/>
            <w:noWrap/>
            <w:vAlign w:val="bottom"/>
            <w:hideMark/>
          </w:tcPr>
          <w:p w14:paraId="47C7E68D"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Bloque Sur</w:t>
            </w:r>
          </w:p>
        </w:tc>
        <w:tc>
          <w:tcPr>
            <w:tcW w:w="1216" w:type="dxa"/>
            <w:tcBorders>
              <w:top w:val="nil"/>
              <w:left w:val="nil"/>
              <w:bottom w:val="single" w:sz="4" w:space="0" w:color="auto"/>
              <w:right w:val="single" w:sz="4" w:space="0" w:color="auto"/>
            </w:tcBorders>
            <w:shd w:val="clear" w:color="auto" w:fill="auto"/>
            <w:noWrap/>
            <w:vAlign w:val="bottom"/>
            <w:hideMark/>
          </w:tcPr>
          <w:p w14:paraId="5AE490C7" w14:textId="77777777" w:rsidR="004243E4" w:rsidRPr="009C0689" w:rsidRDefault="004243E4"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BS</w:t>
            </w:r>
          </w:p>
        </w:tc>
        <w:tc>
          <w:tcPr>
            <w:tcW w:w="1588" w:type="dxa"/>
            <w:tcBorders>
              <w:top w:val="nil"/>
              <w:left w:val="nil"/>
              <w:bottom w:val="single" w:sz="4" w:space="0" w:color="auto"/>
              <w:right w:val="single" w:sz="4" w:space="0" w:color="auto"/>
            </w:tcBorders>
            <w:shd w:val="clear" w:color="auto" w:fill="auto"/>
            <w:noWrap/>
            <w:vAlign w:val="bottom"/>
            <w:hideMark/>
          </w:tcPr>
          <w:p w14:paraId="0D930F2B" w14:textId="77777777" w:rsidR="004243E4" w:rsidRPr="009C0689" w:rsidRDefault="004243E4"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99</w:t>
            </w:r>
          </w:p>
        </w:tc>
      </w:tr>
      <w:tr w:rsidR="004243E4" w:rsidRPr="009C0689" w14:paraId="362ABAB8" w14:textId="77777777" w:rsidTr="00CE1F1F">
        <w:trPr>
          <w:trHeight w:val="300"/>
          <w:jc w:val="center"/>
        </w:trPr>
        <w:tc>
          <w:tcPr>
            <w:tcW w:w="2716" w:type="dxa"/>
            <w:tcBorders>
              <w:top w:val="nil"/>
              <w:left w:val="single" w:sz="4" w:space="0" w:color="auto"/>
              <w:bottom w:val="single" w:sz="4" w:space="0" w:color="auto"/>
              <w:right w:val="single" w:sz="4" w:space="0" w:color="auto"/>
            </w:tcBorders>
            <w:shd w:val="clear" w:color="auto" w:fill="auto"/>
            <w:noWrap/>
            <w:vAlign w:val="bottom"/>
            <w:hideMark/>
          </w:tcPr>
          <w:p w14:paraId="339CADCC" w14:textId="453C343A"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 xml:space="preserve">Bloque </w:t>
            </w:r>
            <w:r w:rsidR="007F045E" w:rsidRPr="009C0689">
              <w:rPr>
                <w:rFonts w:eastAsia="Times New Roman" w:cs="Times New Roman"/>
                <w:color w:val="000000"/>
                <w:sz w:val="24"/>
                <w:szCs w:val="24"/>
                <w:lang w:eastAsia="es-CO"/>
              </w:rPr>
              <w:t>Móvil</w:t>
            </w:r>
            <w:r w:rsidRPr="009C0689">
              <w:rPr>
                <w:rFonts w:eastAsia="Times New Roman" w:cs="Times New Roman"/>
                <w:color w:val="000000"/>
                <w:sz w:val="24"/>
                <w:szCs w:val="24"/>
                <w:lang w:eastAsia="es-CO"/>
              </w:rPr>
              <w:t xml:space="preserve"> Arturo Ruiz</w:t>
            </w:r>
          </w:p>
        </w:tc>
        <w:tc>
          <w:tcPr>
            <w:tcW w:w="1216" w:type="dxa"/>
            <w:tcBorders>
              <w:top w:val="nil"/>
              <w:left w:val="nil"/>
              <w:bottom w:val="single" w:sz="4" w:space="0" w:color="auto"/>
              <w:right w:val="single" w:sz="4" w:space="0" w:color="auto"/>
            </w:tcBorders>
            <w:shd w:val="clear" w:color="auto" w:fill="auto"/>
            <w:noWrap/>
            <w:vAlign w:val="bottom"/>
            <w:hideMark/>
          </w:tcPr>
          <w:p w14:paraId="1CC44BC5" w14:textId="77777777" w:rsidR="004243E4" w:rsidRPr="009C0689" w:rsidRDefault="004243E4"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BMAR</w:t>
            </w:r>
          </w:p>
        </w:tc>
        <w:tc>
          <w:tcPr>
            <w:tcW w:w="1588" w:type="dxa"/>
            <w:tcBorders>
              <w:top w:val="nil"/>
              <w:left w:val="nil"/>
              <w:bottom w:val="single" w:sz="4" w:space="0" w:color="auto"/>
              <w:right w:val="single" w:sz="4" w:space="0" w:color="auto"/>
            </w:tcBorders>
            <w:shd w:val="clear" w:color="auto" w:fill="auto"/>
            <w:noWrap/>
            <w:vAlign w:val="bottom"/>
            <w:hideMark/>
          </w:tcPr>
          <w:p w14:paraId="319B842F" w14:textId="77777777" w:rsidR="004243E4" w:rsidRPr="009C0689" w:rsidRDefault="004243E4"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 </w:t>
            </w:r>
          </w:p>
        </w:tc>
      </w:tr>
    </w:tbl>
    <w:p w14:paraId="2049EECD" w14:textId="77777777" w:rsidR="004243E4" w:rsidRPr="009C0689" w:rsidRDefault="004243E4" w:rsidP="009C0689">
      <w:pPr>
        <w:spacing w:before="120" w:after="120" w:line="276" w:lineRule="auto"/>
        <w:jc w:val="center"/>
        <w:rPr>
          <w:b/>
          <w:sz w:val="24"/>
          <w:szCs w:val="24"/>
        </w:rPr>
      </w:pPr>
    </w:p>
    <w:p w14:paraId="1FD7B886" w14:textId="4EB3D6C4" w:rsidR="00A72190" w:rsidRPr="009C0689" w:rsidRDefault="004243E4" w:rsidP="009C0689">
      <w:pPr>
        <w:spacing w:before="120" w:after="120" w:line="276" w:lineRule="auto"/>
        <w:jc w:val="both"/>
        <w:rPr>
          <w:sz w:val="24"/>
          <w:szCs w:val="24"/>
        </w:rPr>
      </w:pPr>
      <w:r w:rsidRPr="009C0689">
        <w:rPr>
          <w:sz w:val="24"/>
          <w:szCs w:val="24"/>
        </w:rPr>
        <w:t>Al hacer un comparativo anual desde el primer mandato de Juan Manuel S</w:t>
      </w:r>
      <w:r w:rsidR="00D20AFA">
        <w:rPr>
          <w:sz w:val="24"/>
          <w:szCs w:val="24"/>
        </w:rPr>
        <w:t xml:space="preserve">antos, se logra comprobar como </w:t>
      </w:r>
      <w:r w:rsidRPr="009C0689">
        <w:rPr>
          <w:sz w:val="24"/>
          <w:szCs w:val="24"/>
        </w:rPr>
        <w:t xml:space="preserve">2013 y 2014 mostraron una disminución de acciones contra esta infraestructura por parte de las FARC después de </w:t>
      </w:r>
      <w:r w:rsidR="00A72190" w:rsidRPr="009C0689">
        <w:rPr>
          <w:sz w:val="24"/>
          <w:szCs w:val="24"/>
        </w:rPr>
        <w:t xml:space="preserve">dos años de aumento significativo, el siguiente cuadro muestra dicha comparación. </w:t>
      </w:r>
    </w:p>
    <w:p w14:paraId="3522A8A5" w14:textId="31CEB416" w:rsidR="004243E4" w:rsidRPr="009C0689" w:rsidRDefault="004243E4" w:rsidP="009C0689">
      <w:pPr>
        <w:spacing w:before="120" w:after="120" w:line="276" w:lineRule="auto"/>
        <w:jc w:val="center"/>
        <w:rPr>
          <w:b/>
          <w:sz w:val="24"/>
          <w:szCs w:val="24"/>
        </w:rPr>
      </w:pPr>
      <w:r w:rsidRPr="009C0689">
        <w:rPr>
          <w:b/>
          <w:sz w:val="24"/>
          <w:szCs w:val="24"/>
        </w:rPr>
        <w:t>Comparativo AIP 2010-2014</w:t>
      </w:r>
    </w:p>
    <w:tbl>
      <w:tblPr>
        <w:tblW w:w="2400" w:type="dxa"/>
        <w:jc w:val="center"/>
        <w:tblCellMar>
          <w:left w:w="70" w:type="dxa"/>
          <w:right w:w="70" w:type="dxa"/>
        </w:tblCellMar>
        <w:tblLook w:val="04A0" w:firstRow="1" w:lastRow="0" w:firstColumn="1" w:lastColumn="0" w:noHBand="0" w:noVBand="1"/>
      </w:tblPr>
      <w:tblGrid>
        <w:gridCol w:w="1200"/>
        <w:gridCol w:w="1200"/>
      </w:tblGrid>
      <w:tr w:rsidR="004243E4" w:rsidRPr="009C0689" w14:paraId="13E1EFF8" w14:textId="77777777" w:rsidTr="00CE1F1F">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C99B0" w14:textId="77777777" w:rsidR="004243E4" w:rsidRPr="009C0689" w:rsidRDefault="004243E4" w:rsidP="009C0689">
            <w:pPr>
              <w:spacing w:before="120" w:after="120" w:line="276" w:lineRule="auto"/>
              <w:jc w:val="center"/>
              <w:rPr>
                <w:rFonts w:eastAsia="Times New Roman" w:cs="Times New Roman"/>
                <w:b/>
                <w:bCs/>
                <w:color w:val="FF0000"/>
                <w:sz w:val="24"/>
                <w:szCs w:val="24"/>
                <w:lang w:eastAsia="es-CO"/>
              </w:rPr>
            </w:pPr>
            <w:r w:rsidRPr="009C0689">
              <w:rPr>
                <w:rFonts w:eastAsia="Times New Roman" w:cs="Times New Roman"/>
                <w:b/>
                <w:bCs/>
                <w:color w:val="FF0000"/>
                <w:sz w:val="24"/>
                <w:szCs w:val="24"/>
                <w:lang w:eastAsia="es-CO"/>
              </w:rPr>
              <w:t>Año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1909CF3" w14:textId="77777777" w:rsidR="004243E4" w:rsidRPr="009C0689" w:rsidRDefault="004243E4" w:rsidP="009C0689">
            <w:pPr>
              <w:spacing w:before="120" w:after="120" w:line="276" w:lineRule="auto"/>
              <w:rPr>
                <w:rFonts w:eastAsia="Times New Roman" w:cs="Times New Roman"/>
                <w:b/>
                <w:bCs/>
                <w:color w:val="FF0000"/>
                <w:sz w:val="24"/>
                <w:szCs w:val="24"/>
                <w:lang w:eastAsia="es-CO"/>
              </w:rPr>
            </w:pPr>
            <w:r w:rsidRPr="009C0689">
              <w:rPr>
                <w:rFonts w:eastAsia="Times New Roman" w:cs="Times New Roman"/>
                <w:b/>
                <w:bCs/>
                <w:color w:val="FF0000"/>
                <w:sz w:val="24"/>
                <w:szCs w:val="24"/>
                <w:lang w:eastAsia="es-CO"/>
              </w:rPr>
              <w:t># Acciones</w:t>
            </w:r>
          </w:p>
        </w:tc>
      </w:tr>
      <w:tr w:rsidR="004243E4" w:rsidRPr="009C0689" w14:paraId="074FBBC9" w14:textId="77777777" w:rsidTr="00CE1F1F">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DBFC0D4" w14:textId="1048B767" w:rsidR="004243E4" w:rsidRPr="009C0689" w:rsidRDefault="004243E4"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2010</w:t>
            </w:r>
          </w:p>
        </w:tc>
        <w:tc>
          <w:tcPr>
            <w:tcW w:w="1200" w:type="dxa"/>
            <w:tcBorders>
              <w:top w:val="nil"/>
              <w:left w:val="nil"/>
              <w:bottom w:val="single" w:sz="4" w:space="0" w:color="auto"/>
              <w:right w:val="single" w:sz="4" w:space="0" w:color="auto"/>
            </w:tcBorders>
            <w:shd w:val="clear" w:color="auto" w:fill="auto"/>
            <w:noWrap/>
            <w:vAlign w:val="bottom"/>
            <w:hideMark/>
          </w:tcPr>
          <w:p w14:paraId="205566A6" w14:textId="77777777" w:rsidR="004243E4" w:rsidRPr="009C0689" w:rsidRDefault="004243E4"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90</w:t>
            </w:r>
          </w:p>
        </w:tc>
      </w:tr>
      <w:tr w:rsidR="004243E4" w:rsidRPr="009C0689" w14:paraId="61685ADD" w14:textId="77777777" w:rsidTr="00CE1F1F">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E3BA74" w14:textId="50B0A6A9" w:rsidR="004243E4" w:rsidRPr="009C0689" w:rsidRDefault="004243E4"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2011</w:t>
            </w:r>
          </w:p>
        </w:tc>
        <w:tc>
          <w:tcPr>
            <w:tcW w:w="1200" w:type="dxa"/>
            <w:tcBorders>
              <w:top w:val="nil"/>
              <w:left w:val="nil"/>
              <w:bottom w:val="single" w:sz="4" w:space="0" w:color="auto"/>
              <w:right w:val="single" w:sz="4" w:space="0" w:color="auto"/>
            </w:tcBorders>
            <w:shd w:val="clear" w:color="auto" w:fill="auto"/>
            <w:noWrap/>
            <w:vAlign w:val="bottom"/>
            <w:hideMark/>
          </w:tcPr>
          <w:p w14:paraId="7374C2F6" w14:textId="77777777" w:rsidR="004243E4" w:rsidRPr="009C0689" w:rsidRDefault="004243E4"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110</w:t>
            </w:r>
          </w:p>
        </w:tc>
      </w:tr>
      <w:tr w:rsidR="004243E4" w:rsidRPr="009C0689" w14:paraId="465B346A" w14:textId="77777777" w:rsidTr="00CE1F1F">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B72C818" w14:textId="23F693BD" w:rsidR="004243E4" w:rsidRPr="009C0689" w:rsidRDefault="004243E4"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2012</w:t>
            </w:r>
          </w:p>
        </w:tc>
        <w:tc>
          <w:tcPr>
            <w:tcW w:w="1200" w:type="dxa"/>
            <w:tcBorders>
              <w:top w:val="nil"/>
              <w:left w:val="nil"/>
              <w:bottom w:val="single" w:sz="4" w:space="0" w:color="auto"/>
              <w:right w:val="single" w:sz="4" w:space="0" w:color="auto"/>
            </w:tcBorders>
            <w:shd w:val="clear" w:color="auto" w:fill="auto"/>
            <w:noWrap/>
            <w:vAlign w:val="bottom"/>
            <w:hideMark/>
          </w:tcPr>
          <w:p w14:paraId="7D732B90" w14:textId="77777777" w:rsidR="004243E4" w:rsidRPr="009C0689" w:rsidRDefault="004243E4"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239</w:t>
            </w:r>
          </w:p>
        </w:tc>
      </w:tr>
      <w:tr w:rsidR="004243E4" w:rsidRPr="009C0689" w14:paraId="31DA8981" w14:textId="77777777" w:rsidTr="00CE1F1F">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3F69F26" w14:textId="458E742E" w:rsidR="004243E4" w:rsidRPr="009C0689" w:rsidRDefault="004243E4"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2013</w:t>
            </w:r>
          </w:p>
        </w:tc>
        <w:tc>
          <w:tcPr>
            <w:tcW w:w="1200" w:type="dxa"/>
            <w:tcBorders>
              <w:top w:val="nil"/>
              <w:left w:val="nil"/>
              <w:bottom w:val="single" w:sz="4" w:space="0" w:color="auto"/>
              <w:right w:val="single" w:sz="4" w:space="0" w:color="auto"/>
            </w:tcBorders>
            <w:shd w:val="clear" w:color="auto" w:fill="auto"/>
            <w:noWrap/>
            <w:vAlign w:val="bottom"/>
            <w:hideMark/>
          </w:tcPr>
          <w:p w14:paraId="17444A13" w14:textId="77777777" w:rsidR="004243E4" w:rsidRPr="009C0689" w:rsidRDefault="004243E4"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124</w:t>
            </w:r>
          </w:p>
        </w:tc>
      </w:tr>
      <w:tr w:rsidR="004243E4" w:rsidRPr="009C0689" w14:paraId="258994E6" w14:textId="77777777" w:rsidTr="00CE1F1F">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7D9E219" w14:textId="050BDD3C" w:rsidR="004243E4" w:rsidRPr="009C0689" w:rsidRDefault="004243E4"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2014</w:t>
            </w:r>
          </w:p>
        </w:tc>
        <w:tc>
          <w:tcPr>
            <w:tcW w:w="1200" w:type="dxa"/>
            <w:tcBorders>
              <w:top w:val="nil"/>
              <w:left w:val="nil"/>
              <w:bottom w:val="single" w:sz="4" w:space="0" w:color="auto"/>
              <w:right w:val="single" w:sz="4" w:space="0" w:color="auto"/>
            </w:tcBorders>
            <w:shd w:val="clear" w:color="auto" w:fill="auto"/>
            <w:noWrap/>
            <w:vAlign w:val="bottom"/>
            <w:hideMark/>
          </w:tcPr>
          <w:p w14:paraId="6CC39074" w14:textId="77777777" w:rsidR="004243E4" w:rsidRPr="009C0689" w:rsidRDefault="004243E4"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153</w:t>
            </w:r>
          </w:p>
        </w:tc>
      </w:tr>
    </w:tbl>
    <w:p w14:paraId="1D50CFFA" w14:textId="77777777" w:rsidR="004243E4" w:rsidRPr="009C0689" w:rsidRDefault="004243E4" w:rsidP="009C0689">
      <w:pPr>
        <w:spacing w:before="120" w:after="120" w:line="276" w:lineRule="auto"/>
        <w:jc w:val="both"/>
        <w:rPr>
          <w:sz w:val="24"/>
          <w:szCs w:val="24"/>
        </w:rPr>
      </w:pPr>
    </w:p>
    <w:p w14:paraId="03F36663" w14:textId="2E1E48CD" w:rsidR="004243E4" w:rsidRPr="009C0689" w:rsidRDefault="004243E4" w:rsidP="009C0689">
      <w:pPr>
        <w:spacing w:before="120" w:after="120" w:line="276" w:lineRule="auto"/>
        <w:jc w:val="both"/>
        <w:rPr>
          <w:sz w:val="24"/>
          <w:szCs w:val="24"/>
        </w:rPr>
      </w:pPr>
      <w:r w:rsidRPr="009C0689">
        <w:rPr>
          <w:sz w:val="24"/>
          <w:szCs w:val="24"/>
        </w:rPr>
        <w:t xml:space="preserve">Ahora bien, </w:t>
      </w:r>
      <w:r w:rsidR="00A72190" w:rsidRPr="009C0689">
        <w:rPr>
          <w:sz w:val="24"/>
          <w:szCs w:val="24"/>
        </w:rPr>
        <w:t xml:space="preserve">en los temas de infraestructura energética la situación fue la siguiente. </w:t>
      </w:r>
      <w:r w:rsidR="0079602C" w:rsidRPr="009C0689">
        <w:rPr>
          <w:sz w:val="24"/>
          <w:szCs w:val="24"/>
        </w:rPr>
        <w:t xml:space="preserve">Al comparar entre los años 2010-2014, la tendencia </w:t>
      </w:r>
      <w:r w:rsidR="007F045E" w:rsidRPr="009C0689">
        <w:rPr>
          <w:sz w:val="24"/>
          <w:szCs w:val="24"/>
        </w:rPr>
        <w:t xml:space="preserve">muestra un descenso importante, </w:t>
      </w:r>
      <w:r w:rsidR="00C654CD" w:rsidRPr="009C0689">
        <w:rPr>
          <w:sz w:val="24"/>
          <w:szCs w:val="24"/>
        </w:rPr>
        <w:t>es decir</w:t>
      </w:r>
      <w:r w:rsidR="007F045E" w:rsidRPr="009C0689">
        <w:rPr>
          <w:sz w:val="24"/>
          <w:szCs w:val="24"/>
        </w:rPr>
        <w:t>, igualmente al comparar los años 2013 y 2014 con los anteriores se logra establecer</w:t>
      </w:r>
      <w:r w:rsidR="00C654CD" w:rsidRPr="009C0689">
        <w:rPr>
          <w:sz w:val="24"/>
          <w:szCs w:val="24"/>
        </w:rPr>
        <w:t xml:space="preserve"> sustanciales reducciones en los ataques como lo muestra el siguiente cuadro. </w:t>
      </w:r>
    </w:p>
    <w:p w14:paraId="7102679B" w14:textId="77453055" w:rsidR="00A72190" w:rsidRPr="009C0689" w:rsidRDefault="00A72190" w:rsidP="009C0689">
      <w:pPr>
        <w:spacing w:before="120" w:after="120" w:line="276" w:lineRule="auto"/>
        <w:jc w:val="center"/>
        <w:rPr>
          <w:b/>
          <w:sz w:val="24"/>
          <w:szCs w:val="24"/>
        </w:rPr>
      </w:pPr>
      <w:r w:rsidRPr="009C0689">
        <w:rPr>
          <w:b/>
          <w:sz w:val="24"/>
          <w:szCs w:val="24"/>
        </w:rPr>
        <w:t>Comparativo AIE 2010-2014</w:t>
      </w:r>
    </w:p>
    <w:tbl>
      <w:tblPr>
        <w:tblW w:w="2420" w:type="dxa"/>
        <w:jc w:val="center"/>
        <w:tblCellMar>
          <w:left w:w="70" w:type="dxa"/>
          <w:right w:w="70" w:type="dxa"/>
        </w:tblCellMar>
        <w:tblLook w:val="04A0" w:firstRow="1" w:lastRow="0" w:firstColumn="1" w:lastColumn="0" w:noHBand="0" w:noVBand="1"/>
      </w:tblPr>
      <w:tblGrid>
        <w:gridCol w:w="1210"/>
        <w:gridCol w:w="1210"/>
      </w:tblGrid>
      <w:tr w:rsidR="00A72190" w:rsidRPr="009C0689" w14:paraId="535F35EE" w14:textId="77777777" w:rsidTr="001028F2">
        <w:trPr>
          <w:trHeight w:val="216"/>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D8DFD" w14:textId="77777777" w:rsidR="00A72190" w:rsidRPr="009C0689" w:rsidRDefault="00A72190" w:rsidP="009C0689">
            <w:pPr>
              <w:spacing w:before="120" w:after="120" w:line="276" w:lineRule="auto"/>
              <w:jc w:val="center"/>
              <w:rPr>
                <w:rFonts w:eastAsia="Times New Roman" w:cs="Times New Roman"/>
                <w:b/>
                <w:bCs/>
                <w:color w:val="FF0000"/>
                <w:sz w:val="24"/>
                <w:szCs w:val="24"/>
                <w:lang w:eastAsia="es-CO"/>
              </w:rPr>
            </w:pPr>
            <w:r w:rsidRPr="009C0689">
              <w:rPr>
                <w:rFonts w:eastAsia="Times New Roman" w:cs="Times New Roman"/>
                <w:b/>
                <w:bCs/>
                <w:color w:val="FF0000"/>
                <w:sz w:val="24"/>
                <w:szCs w:val="24"/>
                <w:lang w:eastAsia="es-CO"/>
              </w:rPr>
              <w:t>Año</w:t>
            </w:r>
          </w:p>
        </w:tc>
        <w:tc>
          <w:tcPr>
            <w:tcW w:w="1210" w:type="dxa"/>
            <w:tcBorders>
              <w:top w:val="single" w:sz="4" w:space="0" w:color="auto"/>
              <w:left w:val="nil"/>
              <w:bottom w:val="single" w:sz="4" w:space="0" w:color="auto"/>
              <w:right w:val="single" w:sz="4" w:space="0" w:color="auto"/>
            </w:tcBorders>
            <w:shd w:val="clear" w:color="auto" w:fill="auto"/>
            <w:noWrap/>
            <w:vAlign w:val="bottom"/>
            <w:hideMark/>
          </w:tcPr>
          <w:p w14:paraId="2E4CCCF2" w14:textId="77777777" w:rsidR="00A72190" w:rsidRPr="009C0689" w:rsidRDefault="00A72190" w:rsidP="009C0689">
            <w:pPr>
              <w:spacing w:before="120" w:after="120" w:line="276" w:lineRule="auto"/>
              <w:rPr>
                <w:rFonts w:eastAsia="Times New Roman" w:cs="Times New Roman"/>
                <w:b/>
                <w:bCs/>
                <w:color w:val="FF0000"/>
                <w:sz w:val="24"/>
                <w:szCs w:val="24"/>
                <w:lang w:eastAsia="es-CO"/>
              </w:rPr>
            </w:pPr>
            <w:r w:rsidRPr="009C0689">
              <w:rPr>
                <w:rFonts w:eastAsia="Times New Roman" w:cs="Times New Roman"/>
                <w:b/>
                <w:bCs/>
                <w:color w:val="FF0000"/>
                <w:sz w:val="24"/>
                <w:szCs w:val="24"/>
                <w:lang w:eastAsia="es-CO"/>
              </w:rPr>
              <w:t># Acciones</w:t>
            </w:r>
          </w:p>
        </w:tc>
      </w:tr>
      <w:tr w:rsidR="00A72190" w:rsidRPr="009C0689" w14:paraId="5A072A07" w14:textId="77777777" w:rsidTr="001028F2">
        <w:trPr>
          <w:trHeight w:val="216"/>
          <w:jc w:val="center"/>
        </w:trPr>
        <w:tc>
          <w:tcPr>
            <w:tcW w:w="1210" w:type="dxa"/>
            <w:tcBorders>
              <w:top w:val="nil"/>
              <w:left w:val="single" w:sz="4" w:space="0" w:color="auto"/>
              <w:bottom w:val="single" w:sz="4" w:space="0" w:color="auto"/>
              <w:right w:val="single" w:sz="4" w:space="0" w:color="auto"/>
            </w:tcBorders>
            <w:shd w:val="clear" w:color="auto" w:fill="auto"/>
            <w:noWrap/>
            <w:vAlign w:val="bottom"/>
            <w:hideMark/>
          </w:tcPr>
          <w:p w14:paraId="06A4D962" w14:textId="5ADBA15C" w:rsidR="00A72190" w:rsidRPr="009C0689" w:rsidRDefault="00A72190"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2010</w:t>
            </w:r>
          </w:p>
        </w:tc>
        <w:tc>
          <w:tcPr>
            <w:tcW w:w="1210" w:type="dxa"/>
            <w:tcBorders>
              <w:top w:val="nil"/>
              <w:left w:val="nil"/>
              <w:bottom w:val="single" w:sz="4" w:space="0" w:color="auto"/>
              <w:right w:val="single" w:sz="4" w:space="0" w:color="auto"/>
            </w:tcBorders>
            <w:shd w:val="clear" w:color="auto" w:fill="auto"/>
            <w:noWrap/>
            <w:vAlign w:val="bottom"/>
            <w:hideMark/>
          </w:tcPr>
          <w:p w14:paraId="7D3449FB" w14:textId="77777777" w:rsidR="00A72190" w:rsidRPr="009C0689" w:rsidRDefault="00A7219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93</w:t>
            </w:r>
          </w:p>
        </w:tc>
      </w:tr>
      <w:tr w:rsidR="00A72190" w:rsidRPr="009C0689" w14:paraId="65759E1B" w14:textId="77777777" w:rsidTr="001028F2">
        <w:trPr>
          <w:trHeight w:val="216"/>
          <w:jc w:val="center"/>
        </w:trPr>
        <w:tc>
          <w:tcPr>
            <w:tcW w:w="1210" w:type="dxa"/>
            <w:tcBorders>
              <w:top w:val="nil"/>
              <w:left w:val="single" w:sz="4" w:space="0" w:color="auto"/>
              <w:bottom w:val="single" w:sz="4" w:space="0" w:color="auto"/>
              <w:right w:val="single" w:sz="4" w:space="0" w:color="auto"/>
            </w:tcBorders>
            <w:shd w:val="clear" w:color="auto" w:fill="auto"/>
            <w:noWrap/>
            <w:vAlign w:val="bottom"/>
            <w:hideMark/>
          </w:tcPr>
          <w:p w14:paraId="5FE43485" w14:textId="36CA2BCD" w:rsidR="00A72190" w:rsidRPr="009C0689" w:rsidRDefault="00A72190"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2011</w:t>
            </w:r>
          </w:p>
        </w:tc>
        <w:tc>
          <w:tcPr>
            <w:tcW w:w="1210" w:type="dxa"/>
            <w:tcBorders>
              <w:top w:val="nil"/>
              <w:left w:val="nil"/>
              <w:bottom w:val="single" w:sz="4" w:space="0" w:color="auto"/>
              <w:right w:val="single" w:sz="4" w:space="0" w:color="auto"/>
            </w:tcBorders>
            <w:shd w:val="clear" w:color="auto" w:fill="auto"/>
            <w:noWrap/>
            <w:vAlign w:val="bottom"/>
            <w:hideMark/>
          </w:tcPr>
          <w:p w14:paraId="50BFB452" w14:textId="77777777" w:rsidR="00A72190" w:rsidRPr="009C0689" w:rsidRDefault="00A7219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106</w:t>
            </w:r>
          </w:p>
        </w:tc>
      </w:tr>
      <w:tr w:rsidR="00A72190" w:rsidRPr="009C0689" w14:paraId="568FA6A6" w14:textId="77777777" w:rsidTr="001028F2">
        <w:trPr>
          <w:trHeight w:val="216"/>
          <w:jc w:val="center"/>
        </w:trPr>
        <w:tc>
          <w:tcPr>
            <w:tcW w:w="1210" w:type="dxa"/>
            <w:tcBorders>
              <w:top w:val="nil"/>
              <w:left w:val="single" w:sz="4" w:space="0" w:color="auto"/>
              <w:bottom w:val="single" w:sz="4" w:space="0" w:color="auto"/>
              <w:right w:val="single" w:sz="4" w:space="0" w:color="auto"/>
            </w:tcBorders>
            <w:shd w:val="clear" w:color="auto" w:fill="auto"/>
            <w:noWrap/>
            <w:vAlign w:val="bottom"/>
            <w:hideMark/>
          </w:tcPr>
          <w:p w14:paraId="6C3F565C" w14:textId="04FF2819" w:rsidR="00A72190" w:rsidRPr="009C0689" w:rsidRDefault="00A72190"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2012</w:t>
            </w:r>
          </w:p>
        </w:tc>
        <w:tc>
          <w:tcPr>
            <w:tcW w:w="1210" w:type="dxa"/>
            <w:tcBorders>
              <w:top w:val="nil"/>
              <w:left w:val="nil"/>
              <w:bottom w:val="single" w:sz="4" w:space="0" w:color="auto"/>
              <w:right w:val="single" w:sz="4" w:space="0" w:color="auto"/>
            </w:tcBorders>
            <w:shd w:val="clear" w:color="auto" w:fill="auto"/>
            <w:noWrap/>
            <w:vAlign w:val="bottom"/>
            <w:hideMark/>
          </w:tcPr>
          <w:p w14:paraId="54E0FE7B" w14:textId="77777777" w:rsidR="00A72190" w:rsidRPr="009C0689" w:rsidRDefault="00A7219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102</w:t>
            </w:r>
          </w:p>
        </w:tc>
      </w:tr>
      <w:tr w:rsidR="00A72190" w:rsidRPr="009C0689" w14:paraId="14C29583" w14:textId="77777777" w:rsidTr="001028F2">
        <w:trPr>
          <w:trHeight w:val="216"/>
          <w:jc w:val="center"/>
        </w:trPr>
        <w:tc>
          <w:tcPr>
            <w:tcW w:w="1210" w:type="dxa"/>
            <w:tcBorders>
              <w:top w:val="nil"/>
              <w:left w:val="single" w:sz="4" w:space="0" w:color="auto"/>
              <w:bottom w:val="single" w:sz="4" w:space="0" w:color="auto"/>
              <w:right w:val="single" w:sz="4" w:space="0" w:color="auto"/>
            </w:tcBorders>
            <w:shd w:val="clear" w:color="auto" w:fill="auto"/>
            <w:noWrap/>
            <w:vAlign w:val="bottom"/>
            <w:hideMark/>
          </w:tcPr>
          <w:p w14:paraId="5FF912B5" w14:textId="4BB20BA4" w:rsidR="00A72190" w:rsidRPr="009C0689" w:rsidRDefault="00A72190"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2013</w:t>
            </w:r>
          </w:p>
        </w:tc>
        <w:tc>
          <w:tcPr>
            <w:tcW w:w="1210" w:type="dxa"/>
            <w:tcBorders>
              <w:top w:val="nil"/>
              <w:left w:val="nil"/>
              <w:bottom w:val="single" w:sz="4" w:space="0" w:color="auto"/>
              <w:right w:val="single" w:sz="4" w:space="0" w:color="auto"/>
            </w:tcBorders>
            <w:shd w:val="clear" w:color="auto" w:fill="auto"/>
            <w:noWrap/>
            <w:vAlign w:val="bottom"/>
            <w:hideMark/>
          </w:tcPr>
          <w:p w14:paraId="714F92E0" w14:textId="77777777" w:rsidR="00A72190" w:rsidRPr="009C0689" w:rsidRDefault="00A7219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48</w:t>
            </w:r>
          </w:p>
        </w:tc>
      </w:tr>
      <w:tr w:rsidR="00A72190" w:rsidRPr="009C0689" w14:paraId="43E958D9" w14:textId="77777777" w:rsidTr="001028F2">
        <w:trPr>
          <w:trHeight w:val="216"/>
          <w:jc w:val="center"/>
        </w:trPr>
        <w:tc>
          <w:tcPr>
            <w:tcW w:w="1210" w:type="dxa"/>
            <w:tcBorders>
              <w:top w:val="nil"/>
              <w:left w:val="single" w:sz="4" w:space="0" w:color="auto"/>
              <w:bottom w:val="single" w:sz="4" w:space="0" w:color="auto"/>
              <w:right w:val="single" w:sz="4" w:space="0" w:color="auto"/>
            </w:tcBorders>
            <w:shd w:val="clear" w:color="auto" w:fill="auto"/>
            <w:noWrap/>
            <w:vAlign w:val="bottom"/>
            <w:hideMark/>
          </w:tcPr>
          <w:p w14:paraId="07EE7911" w14:textId="08757423" w:rsidR="00A72190" w:rsidRPr="009C0689" w:rsidRDefault="00A72190" w:rsidP="009C0689">
            <w:pPr>
              <w:spacing w:before="120" w:after="120" w:line="276" w:lineRule="auto"/>
              <w:jc w:val="center"/>
              <w:rPr>
                <w:rFonts w:eastAsia="Times New Roman" w:cs="Times New Roman"/>
                <w:color w:val="000000"/>
                <w:sz w:val="24"/>
                <w:szCs w:val="24"/>
                <w:lang w:eastAsia="es-CO"/>
              </w:rPr>
            </w:pPr>
            <w:r w:rsidRPr="009C0689">
              <w:rPr>
                <w:rFonts w:eastAsia="Times New Roman" w:cs="Times New Roman"/>
                <w:color w:val="000000"/>
                <w:sz w:val="24"/>
                <w:szCs w:val="24"/>
                <w:lang w:eastAsia="es-CO"/>
              </w:rPr>
              <w:t>2014</w:t>
            </w:r>
          </w:p>
        </w:tc>
        <w:tc>
          <w:tcPr>
            <w:tcW w:w="1210" w:type="dxa"/>
            <w:tcBorders>
              <w:top w:val="nil"/>
              <w:left w:val="nil"/>
              <w:bottom w:val="single" w:sz="4" w:space="0" w:color="auto"/>
              <w:right w:val="single" w:sz="4" w:space="0" w:color="auto"/>
            </w:tcBorders>
            <w:shd w:val="clear" w:color="auto" w:fill="auto"/>
            <w:noWrap/>
            <w:vAlign w:val="bottom"/>
            <w:hideMark/>
          </w:tcPr>
          <w:p w14:paraId="62A736AC" w14:textId="77777777" w:rsidR="00A72190" w:rsidRPr="009C0689" w:rsidRDefault="00A7219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28</w:t>
            </w:r>
          </w:p>
        </w:tc>
      </w:tr>
    </w:tbl>
    <w:p w14:paraId="6A025A0A" w14:textId="77777777" w:rsidR="00A72190" w:rsidRPr="009C0689" w:rsidRDefault="00A72190" w:rsidP="009C0689">
      <w:pPr>
        <w:spacing w:before="120" w:after="120" w:line="276" w:lineRule="auto"/>
        <w:jc w:val="center"/>
        <w:rPr>
          <w:b/>
          <w:sz w:val="24"/>
          <w:szCs w:val="24"/>
        </w:rPr>
      </w:pPr>
    </w:p>
    <w:p w14:paraId="6CDEA4FF" w14:textId="6EECD993" w:rsidR="00A72190" w:rsidRPr="009C0689" w:rsidRDefault="00C654CD" w:rsidP="009C0689">
      <w:pPr>
        <w:spacing w:before="120" w:after="120" w:line="276" w:lineRule="auto"/>
        <w:jc w:val="both"/>
        <w:rPr>
          <w:sz w:val="24"/>
          <w:szCs w:val="24"/>
        </w:rPr>
      </w:pPr>
      <w:r w:rsidRPr="009C0689">
        <w:rPr>
          <w:sz w:val="24"/>
          <w:szCs w:val="24"/>
        </w:rPr>
        <w:t>Los 28 ataques a la infraestructura energética del año 2014 se distribuyeron geográficamente de la siguiente forma:</w:t>
      </w:r>
    </w:p>
    <w:p w14:paraId="6C07D12F" w14:textId="5EB4B036" w:rsidR="009C0689" w:rsidRPr="009C0689" w:rsidRDefault="009C0689" w:rsidP="009C0689">
      <w:pPr>
        <w:spacing w:before="120" w:after="120" w:line="276" w:lineRule="auto"/>
        <w:jc w:val="center"/>
        <w:rPr>
          <w:b/>
          <w:sz w:val="24"/>
          <w:szCs w:val="24"/>
        </w:rPr>
      </w:pPr>
      <w:r w:rsidRPr="009C0689">
        <w:rPr>
          <w:b/>
          <w:sz w:val="24"/>
          <w:szCs w:val="24"/>
        </w:rPr>
        <w:t>Ataques de las FARC a las infraestructura del departamento por departamento. 2014.</w:t>
      </w:r>
    </w:p>
    <w:p w14:paraId="346CCD3D" w14:textId="6C82D574" w:rsidR="00A72190" w:rsidRPr="009C0689" w:rsidRDefault="00C654CD" w:rsidP="009C0689">
      <w:pPr>
        <w:spacing w:before="120" w:after="120" w:line="276" w:lineRule="auto"/>
        <w:jc w:val="center"/>
        <w:rPr>
          <w:sz w:val="24"/>
          <w:szCs w:val="24"/>
        </w:rPr>
      </w:pPr>
      <w:r w:rsidRPr="009C0689">
        <w:rPr>
          <w:noProof/>
          <w:sz w:val="24"/>
          <w:szCs w:val="24"/>
          <w:lang w:eastAsia="es-CO"/>
        </w:rPr>
        <w:drawing>
          <wp:inline distT="0" distB="0" distL="0" distR="0" wp14:anchorId="7243C729" wp14:editId="2909902D">
            <wp:extent cx="4572000" cy="2679539"/>
            <wp:effectExtent l="0" t="0" r="0" b="698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0A67B7" w14:textId="13849C97" w:rsidR="00A72190" w:rsidRPr="009C0689" w:rsidRDefault="009C0689" w:rsidP="009C0689">
      <w:pPr>
        <w:spacing w:before="120" w:after="120" w:line="276" w:lineRule="auto"/>
        <w:jc w:val="both"/>
        <w:rPr>
          <w:i/>
          <w:sz w:val="24"/>
          <w:szCs w:val="24"/>
        </w:rPr>
      </w:pPr>
      <w:r w:rsidRPr="009C0689">
        <w:rPr>
          <w:sz w:val="24"/>
          <w:szCs w:val="24"/>
        </w:rPr>
        <w:t xml:space="preserve">               </w:t>
      </w:r>
      <w:r w:rsidRPr="009C0689">
        <w:rPr>
          <w:i/>
          <w:sz w:val="24"/>
          <w:szCs w:val="24"/>
        </w:rPr>
        <w:t xml:space="preserve">Fundación Paz y Reconciliación. Banco de datos. </w:t>
      </w:r>
    </w:p>
    <w:p w14:paraId="12B083FE" w14:textId="07B7DF0A" w:rsidR="00F41FF0" w:rsidRPr="009C0689" w:rsidRDefault="00F41FF0" w:rsidP="009C0689">
      <w:pPr>
        <w:spacing w:before="120" w:after="120" w:line="276" w:lineRule="auto"/>
        <w:jc w:val="both"/>
        <w:rPr>
          <w:sz w:val="24"/>
          <w:szCs w:val="24"/>
        </w:rPr>
      </w:pPr>
      <w:r w:rsidRPr="009C0689">
        <w:rPr>
          <w:sz w:val="24"/>
          <w:szCs w:val="24"/>
        </w:rPr>
        <w:t xml:space="preserve">Los departamentos del sur y sur oriente del país fueron los más afectados por estos ataques. Las torres de energía fue la infraestructura más afectada como lo muestra el siguiente cuadro.  </w:t>
      </w:r>
    </w:p>
    <w:p w14:paraId="1870EDE9" w14:textId="78F22852" w:rsidR="00F41FF0" w:rsidRPr="009C0689" w:rsidRDefault="00D20AFA" w:rsidP="009C0689">
      <w:pPr>
        <w:spacing w:before="120" w:after="120" w:line="276" w:lineRule="auto"/>
        <w:jc w:val="center"/>
        <w:rPr>
          <w:b/>
          <w:sz w:val="24"/>
          <w:szCs w:val="24"/>
        </w:rPr>
      </w:pPr>
      <w:r>
        <w:rPr>
          <w:b/>
          <w:sz w:val="24"/>
          <w:szCs w:val="24"/>
        </w:rPr>
        <w:t xml:space="preserve">Ataques </w:t>
      </w:r>
      <w:r w:rsidR="00F41FF0" w:rsidRPr="009C0689">
        <w:rPr>
          <w:b/>
          <w:sz w:val="24"/>
          <w:szCs w:val="24"/>
        </w:rPr>
        <w:t>infraestructura energética discriminada por tipo</w:t>
      </w:r>
    </w:p>
    <w:tbl>
      <w:tblPr>
        <w:tblW w:w="2920" w:type="dxa"/>
        <w:jc w:val="center"/>
        <w:tblCellMar>
          <w:left w:w="70" w:type="dxa"/>
          <w:right w:w="70" w:type="dxa"/>
        </w:tblCellMar>
        <w:tblLook w:val="04A0" w:firstRow="1" w:lastRow="0" w:firstColumn="1" w:lastColumn="0" w:noHBand="0" w:noVBand="1"/>
      </w:tblPr>
      <w:tblGrid>
        <w:gridCol w:w="1720"/>
        <w:gridCol w:w="1200"/>
      </w:tblGrid>
      <w:tr w:rsidR="00F41FF0" w:rsidRPr="009C0689" w14:paraId="72A54D34" w14:textId="77777777" w:rsidTr="00CE1F1F">
        <w:trPr>
          <w:trHeight w:val="765"/>
          <w:jc w:val="center"/>
        </w:trPr>
        <w:tc>
          <w:tcPr>
            <w:tcW w:w="29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F63CC66" w14:textId="77777777" w:rsidR="00F41FF0" w:rsidRPr="009C0689" w:rsidRDefault="00F41FF0" w:rsidP="009C0689">
            <w:pPr>
              <w:spacing w:before="120" w:after="120" w:line="276" w:lineRule="auto"/>
              <w:jc w:val="center"/>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ATAQUES AIE</w:t>
            </w:r>
          </w:p>
        </w:tc>
      </w:tr>
      <w:tr w:rsidR="00F41FF0" w:rsidRPr="009C0689" w14:paraId="353C14AC" w14:textId="77777777" w:rsidTr="00CE1F1F">
        <w:trPr>
          <w:trHeight w:val="600"/>
          <w:jc w:val="center"/>
        </w:trPr>
        <w:tc>
          <w:tcPr>
            <w:tcW w:w="1720" w:type="dxa"/>
            <w:tcBorders>
              <w:top w:val="nil"/>
              <w:left w:val="single" w:sz="4" w:space="0" w:color="auto"/>
              <w:bottom w:val="single" w:sz="4" w:space="0" w:color="auto"/>
              <w:right w:val="single" w:sz="4" w:space="0" w:color="auto"/>
            </w:tcBorders>
            <w:shd w:val="clear" w:color="auto" w:fill="auto"/>
            <w:vAlign w:val="bottom"/>
            <w:hideMark/>
          </w:tcPr>
          <w:p w14:paraId="4A8FB029" w14:textId="245D8714"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Torres de energía</w:t>
            </w:r>
          </w:p>
        </w:tc>
        <w:tc>
          <w:tcPr>
            <w:tcW w:w="1200" w:type="dxa"/>
            <w:tcBorders>
              <w:top w:val="nil"/>
              <w:left w:val="nil"/>
              <w:bottom w:val="single" w:sz="4" w:space="0" w:color="auto"/>
              <w:right w:val="single" w:sz="4" w:space="0" w:color="auto"/>
            </w:tcBorders>
            <w:shd w:val="clear" w:color="auto" w:fill="auto"/>
            <w:vAlign w:val="bottom"/>
            <w:hideMark/>
          </w:tcPr>
          <w:p w14:paraId="056600DF"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26</w:t>
            </w:r>
          </w:p>
        </w:tc>
      </w:tr>
      <w:tr w:rsidR="00F41FF0" w:rsidRPr="009C0689" w14:paraId="2525717B" w14:textId="77777777" w:rsidTr="00CE1F1F">
        <w:trPr>
          <w:trHeight w:val="300"/>
          <w:jc w:val="center"/>
        </w:trPr>
        <w:tc>
          <w:tcPr>
            <w:tcW w:w="1720" w:type="dxa"/>
            <w:tcBorders>
              <w:top w:val="nil"/>
              <w:left w:val="single" w:sz="4" w:space="0" w:color="auto"/>
              <w:bottom w:val="single" w:sz="4" w:space="0" w:color="auto"/>
              <w:right w:val="single" w:sz="4" w:space="0" w:color="auto"/>
            </w:tcBorders>
            <w:shd w:val="clear" w:color="auto" w:fill="auto"/>
            <w:vAlign w:val="bottom"/>
            <w:hideMark/>
          </w:tcPr>
          <w:p w14:paraId="5CF1E406" w14:textId="77777777"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Instalaciones</w:t>
            </w:r>
          </w:p>
        </w:tc>
        <w:tc>
          <w:tcPr>
            <w:tcW w:w="1200" w:type="dxa"/>
            <w:tcBorders>
              <w:top w:val="nil"/>
              <w:left w:val="nil"/>
              <w:bottom w:val="single" w:sz="4" w:space="0" w:color="auto"/>
              <w:right w:val="single" w:sz="4" w:space="0" w:color="auto"/>
            </w:tcBorders>
            <w:shd w:val="clear" w:color="auto" w:fill="auto"/>
            <w:vAlign w:val="bottom"/>
            <w:hideMark/>
          </w:tcPr>
          <w:p w14:paraId="46C59657"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w:t>
            </w:r>
          </w:p>
        </w:tc>
      </w:tr>
      <w:tr w:rsidR="00F41FF0" w:rsidRPr="009C0689" w14:paraId="2ECA3E38" w14:textId="77777777" w:rsidTr="00CE1F1F">
        <w:trPr>
          <w:trHeight w:val="300"/>
          <w:jc w:val="center"/>
        </w:trPr>
        <w:tc>
          <w:tcPr>
            <w:tcW w:w="1720" w:type="dxa"/>
            <w:tcBorders>
              <w:top w:val="nil"/>
              <w:left w:val="single" w:sz="4" w:space="0" w:color="auto"/>
              <w:bottom w:val="single" w:sz="4" w:space="0" w:color="auto"/>
              <w:right w:val="single" w:sz="4" w:space="0" w:color="auto"/>
            </w:tcBorders>
            <w:shd w:val="clear" w:color="auto" w:fill="auto"/>
            <w:vAlign w:val="bottom"/>
            <w:hideMark/>
          </w:tcPr>
          <w:p w14:paraId="287F4869" w14:textId="1C81B8BA" w:rsidR="00F41FF0" w:rsidRPr="009C0689" w:rsidRDefault="00F41FF0"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Hidroeléctrica</w:t>
            </w:r>
          </w:p>
        </w:tc>
        <w:tc>
          <w:tcPr>
            <w:tcW w:w="1200" w:type="dxa"/>
            <w:tcBorders>
              <w:top w:val="nil"/>
              <w:left w:val="nil"/>
              <w:bottom w:val="single" w:sz="4" w:space="0" w:color="auto"/>
              <w:right w:val="single" w:sz="4" w:space="0" w:color="auto"/>
            </w:tcBorders>
            <w:shd w:val="clear" w:color="auto" w:fill="auto"/>
            <w:vAlign w:val="bottom"/>
            <w:hideMark/>
          </w:tcPr>
          <w:p w14:paraId="3609BDFC" w14:textId="77777777" w:rsidR="00F41FF0" w:rsidRPr="009C0689" w:rsidRDefault="00F41FF0"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w:t>
            </w:r>
          </w:p>
        </w:tc>
      </w:tr>
    </w:tbl>
    <w:p w14:paraId="5C572128" w14:textId="63E5F0A0" w:rsidR="00C0548B" w:rsidRPr="009C0689" w:rsidRDefault="00C0548B" w:rsidP="009C0689">
      <w:pPr>
        <w:pStyle w:val="Ttulo1"/>
        <w:spacing w:before="120" w:after="120" w:line="276" w:lineRule="auto"/>
        <w:rPr>
          <w:rStyle w:val="Ttulo1Car"/>
          <w:rFonts w:asciiTheme="minorHAnsi" w:hAnsiTheme="minorHAnsi"/>
          <w:sz w:val="24"/>
          <w:szCs w:val="24"/>
        </w:rPr>
      </w:pPr>
      <w:r w:rsidRPr="009C0689">
        <w:rPr>
          <w:rStyle w:val="Ttulo1Car"/>
          <w:rFonts w:asciiTheme="minorHAnsi" w:hAnsiTheme="minorHAnsi"/>
          <w:sz w:val="24"/>
          <w:szCs w:val="24"/>
        </w:rPr>
        <w:t xml:space="preserve"> Hombres fuera de combate. </w:t>
      </w:r>
    </w:p>
    <w:p w14:paraId="1CF5293A" w14:textId="51D48835" w:rsidR="007F045E" w:rsidRPr="009C0689" w:rsidRDefault="001A2985" w:rsidP="009C0689">
      <w:pPr>
        <w:spacing w:before="120" w:after="120" w:line="276" w:lineRule="auto"/>
        <w:jc w:val="both"/>
        <w:rPr>
          <w:sz w:val="24"/>
          <w:szCs w:val="24"/>
        </w:rPr>
      </w:pPr>
      <w:r>
        <w:rPr>
          <w:sz w:val="24"/>
          <w:szCs w:val="24"/>
        </w:rPr>
        <w:t>Ahora bien, la consecuencia más evidente de la disminución de las operaciones de las FARC es el esperanzador ahorro en vidas humanas.  L</w:t>
      </w:r>
      <w:r w:rsidR="00D72935" w:rsidRPr="009C0689">
        <w:rPr>
          <w:sz w:val="24"/>
          <w:szCs w:val="24"/>
        </w:rPr>
        <w:t>os datos de bajas tanto de las FARC como de la fuerza pública muestran</w:t>
      </w:r>
      <w:r>
        <w:rPr>
          <w:sz w:val="24"/>
          <w:szCs w:val="24"/>
        </w:rPr>
        <w:t xml:space="preserve"> </w:t>
      </w:r>
      <w:r w:rsidR="00D20AFA">
        <w:rPr>
          <w:sz w:val="24"/>
          <w:szCs w:val="24"/>
        </w:rPr>
        <w:t>resultados muy impactantes</w:t>
      </w:r>
      <w:r w:rsidR="00D72935" w:rsidRPr="009C0689">
        <w:rPr>
          <w:sz w:val="24"/>
          <w:szCs w:val="24"/>
        </w:rPr>
        <w:t xml:space="preserve">. </w:t>
      </w:r>
      <w:r w:rsidR="007F045E" w:rsidRPr="009C0689">
        <w:rPr>
          <w:sz w:val="24"/>
          <w:szCs w:val="24"/>
        </w:rPr>
        <w:t>En general se logra comprobar como las d</w:t>
      </w:r>
      <w:r>
        <w:rPr>
          <w:sz w:val="24"/>
          <w:szCs w:val="24"/>
        </w:rPr>
        <w:t>iferentes treguas salvaron</w:t>
      </w:r>
      <w:r w:rsidR="007F045E" w:rsidRPr="009C0689">
        <w:rPr>
          <w:sz w:val="24"/>
          <w:szCs w:val="24"/>
        </w:rPr>
        <w:t xml:space="preserve"> de morir o de ser heridos de grav</w:t>
      </w:r>
      <w:r w:rsidR="00D20AFA">
        <w:rPr>
          <w:sz w:val="24"/>
          <w:szCs w:val="24"/>
        </w:rPr>
        <w:t>edad a cerca de 1000 co</w:t>
      </w:r>
      <w:r>
        <w:rPr>
          <w:sz w:val="24"/>
          <w:szCs w:val="24"/>
        </w:rPr>
        <w:t xml:space="preserve">mbatientes. También salvaron de morir o de ser heridos a cerca de 4000 civiles si nos atenemos a la tesis del grupo de memoria histórica, en cabeza de Gonzalo Sánchez, que concluyó que por cada combatiente muerto o herido se lesiona en la misma forma a cuatro civiles. </w:t>
      </w:r>
    </w:p>
    <w:p w14:paraId="75CA9A2D" w14:textId="043B46A1" w:rsidR="00A72190" w:rsidRPr="009C0689" w:rsidRDefault="00D72935" w:rsidP="009C0689">
      <w:pPr>
        <w:spacing w:before="120" w:after="120" w:line="276" w:lineRule="auto"/>
        <w:jc w:val="both"/>
        <w:rPr>
          <w:sz w:val="24"/>
          <w:szCs w:val="24"/>
        </w:rPr>
      </w:pPr>
      <w:r w:rsidRPr="009C0689">
        <w:rPr>
          <w:sz w:val="24"/>
          <w:szCs w:val="24"/>
        </w:rPr>
        <w:t xml:space="preserve">Para el caso de guerrilleros desmovilizados la cifra permanece estable entre 2013 y 2014.  </w:t>
      </w:r>
      <w:r w:rsidR="00C0548B" w:rsidRPr="009C0689">
        <w:rPr>
          <w:sz w:val="24"/>
          <w:szCs w:val="24"/>
        </w:rPr>
        <w:t xml:space="preserve">A largo plazo se observa que después de varios años donde las FARC perdieron bastante tropa en desmovilizaciones, desde 2011 han logrado controlar este fenómeno, en todo caso sigue siendo importante. La siguiente gráfica muestra la evolución del número de desmovilizaciones en grupos guerrilleros en el consolidado histórico.  </w:t>
      </w:r>
    </w:p>
    <w:p w14:paraId="61780C8B" w14:textId="0701253C" w:rsidR="009C0689" w:rsidRPr="009C0689" w:rsidRDefault="009C0689" w:rsidP="009C0689">
      <w:pPr>
        <w:spacing w:before="120" w:after="120" w:line="276" w:lineRule="auto"/>
        <w:jc w:val="center"/>
        <w:rPr>
          <w:b/>
          <w:sz w:val="24"/>
          <w:szCs w:val="24"/>
        </w:rPr>
      </w:pPr>
      <w:r w:rsidRPr="009C0689">
        <w:rPr>
          <w:b/>
          <w:sz w:val="24"/>
          <w:szCs w:val="24"/>
        </w:rPr>
        <w:t>Guerrilleros desmovilizados. Consolidado Historico.2003-2014.</w:t>
      </w:r>
    </w:p>
    <w:p w14:paraId="7889A53C" w14:textId="78CC9142" w:rsidR="00A72190" w:rsidRPr="009C0689" w:rsidRDefault="00D72935" w:rsidP="009C0689">
      <w:pPr>
        <w:spacing w:before="120" w:after="120" w:line="276" w:lineRule="auto"/>
        <w:jc w:val="center"/>
        <w:rPr>
          <w:sz w:val="24"/>
          <w:szCs w:val="24"/>
        </w:rPr>
      </w:pPr>
      <w:r w:rsidRPr="009C0689">
        <w:rPr>
          <w:noProof/>
          <w:sz w:val="24"/>
          <w:szCs w:val="24"/>
          <w:lang w:eastAsia="es-CO"/>
        </w:rPr>
        <w:drawing>
          <wp:inline distT="0" distB="0" distL="0" distR="0" wp14:anchorId="5AED8916" wp14:editId="16593CB9">
            <wp:extent cx="5612130" cy="2378597"/>
            <wp:effectExtent l="0" t="0" r="7620" b="317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FE342E" w14:textId="2024AA32" w:rsidR="009C0689" w:rsidRPr="009C0689" w:rsidRDefault="009C0689" w:rsidP="009C0689">
      <w:pPr>
        <w:spacing w:before="120" w:after="120" w:line="276" w:lineRule="auto"/>
        <w:jc w:val="both"/>
        <w:rPr>
          <w:i/>
          <w:sz w:val="24"/>
          <w:szCs w:val="24"/>
        </w:rPr>
      </w:pPr>
      <w:r w:rsidRPr="009C0689">
        <w:rPr>
          <w:i/>
          <w:sz w:val="24"/>
          <w:szCs w:val="24"/>
        </w:rPr>
        <w:t xml:space="preserve">Ministerio de defensa nacional. </w:t>
      </w:r>
    </w:p>
    <w:p w14:paraId="5394D66C" w14:textId="3A727B32" w:rsidR="00A72190" w:rsidRPr="009C0689" w:rsidRDefault="0032799A" w:rsidP="009C0689">
      <w:pPr>
        <w:spacing w:before="120" w:after="120" w:line="276" w:lineRule="auto"/>
        <w:jc w:val="both"/>
        <w:rPr>
          <w:sz w:val="24"/>
          <w:szCs w:val="24"/>
        </w:rPr>
      </w:pPr>
      <w:r w:rsidRPr="009C0689">
        <w:rPr>
          <w:sz w:val="24"/>
          <w:szCs w:val="24"/>
        </w:rPr>
        <w:t>La mayor cantidad de desmovilizados son nuevos reclutas, es decir, personas que han durado entre 3 y 6 meses en las final guerrilleras. Durante los años 2012 y 2013, se presentó un aumento importante de mandos medios o de personas que habían estado en la guerrilla más de 15 años, sin embargo la cifra se redujo desde mediados de 2013 y durante todo el 2014. Gran parte de esta situación se debe a las negociaciones de paz, donde los mandos medios perciben que podrían salir con mayores beneficios que hacerlo mediante desmovilizaciones individuales.  En todo caso hubo casos importantes de desmovilizaciones de este tipo de mandos</w:t>
      </w:r>
      <w:r w:rsidR="0057758C" w:rsidRPr="009C0689">
        <w:rPr>
          <w:sz w:val="24"/>
          <w:szCs w:val="24"/>
        </w:rPr>
        <w:t>,</w:t>
      </w:r>
      <w:r w:rsidRPr="009C0689">
        <w:rPr>
          <w:sz w:val="24"/>
          <w:szCs w:val="24"/>
        </w:rPr>
        <w:t xml:space="preserve"> tal vez el más importante es el de Simón Bernate, quien había sido un líder político </w:t>
      </w:r>
      <w:r w:rsidR="007F045E" w:rsidRPr="009C0689">
        <w:rPr>
          <w:sz w:val="24"/>
          <w:szCs w:val="24"/>
        </w:rPr>
        <w:t>del Comando Conjunto de Central</w:t>
      </w:r>
      <w:r w:rsidR="00D20AFA">
        <w:rPr>
          <w:sz w:val="24"/>
          <w:szCs w:val="24"/>
        </w:rPr>
        <w:t xml:space="preserve"> </w:t>
      </w:r>
      <w:r w:rsidR="0057758C" w:rsidRPr="009C0689">
        <w:rPr>
          <w:sz w:val="24"/>
          <w:szCs w:val="24"/>
        </w:rPr>
        <w:t>que opera en el surde l Tolima y Norte de Huila.</w:t>
      </w:r>
    </w:p>
    <w:p w14:paraId="26F6304F" w14:textId="7216F2DC" w:rsidR="00C0548B" w:rsidRDefault="0057758C" w:rsidP="009C0689">
      <w:pPr>
        <w:spacing w:before="120" w:after="120" w:line="276" w:lineRule="auto"/>
        <w:jc w:val="both"/>
        <w:rPr>
          <w:sz w:val="24"/>
          <w:szCs w:val="24"/>
        </w:rPr>
      </w:pPr>
      <w:r w:rsidRPr="009C0689">
        <w:rPr>
          <w:sz w:val="24"/>
          <w:szCs w:val="24"/>
        </w:rPr>
        <w:t xml:space="preserve">Bernate era líder histórico de las FARC en esta región del país y llegó se estar muy cerca de Alfonso Cano, sin embargo, su liderazgo había entrado en un periodo de decadencia luego de la muerte de Cano y la salida de Victoria para la Habana, al final se termina entregando a la Brigada Móvil No 8. La siguiente gráfica muestra el comparativo mensual de desmovilizaciones de los grupos guerrilleros. </w:t>
      </w:r>
    </w:p>
    <w:p w14:paraId="7D90F4B4" w14:textId="0DA12CD5" w:rsidR="000259D5" w:rsidRPr="000259D5" w:rsidRDefault="000259D5" w:rsidP="000259D5">
      <w:pPr>
        <w:spacing w:before="120" w:after="120" w:line="276" w:lineRule="auto"/>
        <w:jc w:val="center"/>
        <w:rPr>
          <w:b/>
          <w:sz w:val="24"/>
          <w:szCs w:val="24"/>
        </w:rPr>
      </w:pPr>
      <w:r w:rsidRPr="000259D5">
        <w:rPr>
          <w:b/>
          <w:sz w:val="24"/>
          <w:szCs w:val="24"/>
        </w:rPr>
        <w:t>Comparativo mensual de desmovilizados. 2012-2014.</w:t>
      </w:r>
    </w:p>
    <w:p w14:paraId="4DA80963" w14:textId="56543743" w:rsidR="00C0548B" w:rsidRPr="009C0689" w:rsidRDefault="00C0548B" w:rsidP="009C0689">
      <w:pPr>
        <w:spacing w:before="120" w:after="120" w:line="276" w:lineRule="auto"/>
        <w:jc w:val="both"/>
        <w:rPr>
          <w:sz w:val="24"/>
          <w:szCs w:val="24"/>
        </w:rPr>
      </w:pPr>
      <w:r w:rsidRPr="009C0689">
        <w:rPr>
          <w:noProof/>
          <w:sz w:val="24"/>
          <w:szCs w:val="24"/>
          <w:lang w:eastAsia="es-CO"/>
        </w:rPr>
        <w:drawing>
          <wp:inline distT="0" distB="0" distL="0" distR="0" wp14:anchorId="77D8D7AF" wp14:editId="41D3B6C1">
            <wp:extent cx="5612130" cy="2197100"/>
            <wp:effectExtent l="0" t="0" r="7620" b="1270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FB286E" w14:textId="2C773DD3" w:rsidR="000259D5" w:rsidRPr="000259D5" w:rsidRDefault="000259D5" w:rsidP="009C0689">
      <w:pPr>
        <w:spacing w:before="120" w:after="120" w:line="276" w:lineRule="auto"/>
        <w:jc w:val="both"/>
        <w:rPr>
          <w:i/>
          <w:sz w:val="24"/>
          <w:szCs w:val="24"/>
        </w:rPr>
      </w:pPr>
      <w:r w:rsidRPr="009C0689">
        <w:rPr>
          <w:i/>
          <w:sz w:val="24"/>
          <w:szCs w:val="24"/>
        </w:rPr>
        <w:t xml:space="preserve">Ministerio de defensa nacional. </w:t>
      </w:r>
    </w:p>
    <w:p w14:paraId="7735664D" w14:textId="77777777" w:rsidR="0057758C" w:rsidRPr="009C0689" w:rsidRDefault="0057758C" w:rsidP="009C0689">
      <w:pPr>
        <w:spacing w:before="120" w:after="120" w:line="276" w:lineRule="auto"/>
        <w:jc w:val="both"/>
        <w:rPr>
          <w:sz w:val="24"/>
          <w:szCs w:val="24"/>
        </w:rPr>
      </w:pPr>
      <w:r w:rsidRPr="009C0689">
        <w:rPr>
          <w:sz w:val="24"/>
          <w:szCs w:val="24"/>
        </w:rPr>
        <w:t xml:space="preserve">Al discriminar los 1349 casos de desmovilización por tipo de grupo armado ilegal los datos son los siguientes. </w:t>
      </w:r>
    </w:p>
    <w:tbl>
      <w:tblPr>
        <w:tblW w:w="7828" w:type="dxa"/>
        <w:tblCellMar>
          <w:left w:w="70" w:type="dxa"/>
          <w:right w:w="70" w:type="dxa"/>
        </w:tblCellMar>
        <w:tblLook w:val="04A0" w:firstRow="1" w:lastRow="0" w:firstColumn="1" w:lastColumn="0" w:noHBand="0" w:noVBand="1"/>
      </w:tblPr>
      <w:tblGrid>
        <w:gridCol w:w="1809"/>
        <w:gridCol w:w="1192"/>
        <w:gridCol w:w="1192"/>
        <w:gridCol w:w="1251"/>
        <w:gridCol w:w="1192"/>
        <w:gridCol w:w="1192"/>
      </w:tblGrid>
      <w:tr w:rsidR="0057758C" w:rsidRPr="009C0689" w14:paraId="6F9E7F52" w14:textId="77777777" w:rsidTr="007F045E">
        <w:trPr>
          <w:trHeight w:val="479"/>
        </w:trPr>
        <w:tc>
          <w:tcPr>
            <w:tcW w:w="1809" w:type="dxa"/>
            <w:tcBorders>
              <w:top w:val="nil"/>
              <w:left w:val="nil"/>
              <w:bottom w:val="nil"/>
              <w:right w:val="nil"/>
            </w:tcBorders>
            <w:shd w:val="clear" w:color="auto" w:fill="auto"/>
            <w:vAlign w:val="bottom"/>
            <w:hideMark/>
          </w:tcPr>
          <w:p w14:paraId="56A27CE6" w14:textId="77777777" w:rsidR="0057758C" w:rsidRPr="009C0689" w:rsidRDefault="0057758C" w:rsidP="009C0689">
            <w:pPr>
              <w:spacing w:before="120" w:after="120" w:line="276" w:lineRule="auto"/>
              <w:rPr>
                <w:rFonts w:eastAsia="Times New Roman" w:cs="Times New Roman"/>
                <w:sz w:val="24"/>
                <w:szCs w:val="24"/>
                <w:lang w:eastAsia="es-CO"/>
              </w:rPr>
            </w:pPr>
          </w:p>
        </w:tc>
        <w:tc>
          <w:tcPr>
            <w:tcW w:w="1192" w:type="dxa"/>
            <w:tcBorders>
              <w:top w:val="single" w:sz="4" w:space="0" w:color="auto"/>
              <w:left w:val="single" w:sz="4" w:space="0" w:color="auto"/>
              <w:bottom w:val="nil"/>
              <w:right w:val="single" w:sz="4" w:space="0" w:color="auto"/>
            </w:tcBorders>
            <w:shd w:val="clear" w:color="auto" w:fill="auto"/>
            <w:vAlign w:val="bottom"/>
            <w:hideMark/>
          </w:tcPr>
          <w:p w14:paraId="329E772C" w14:textId="54ED01AF" w:rsidR="0057758C" w:rsidRPr="009C0689" w:rsidRDefault="0057758C"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Ene-Sep</w:t>
            </w:r>
            <w:r w:rsidR="00D20AFA">
              <w:rPr>
                <w:rFonts w:eastAsia="Times New Roman" w:cs="Times New Roman"/>
                <w:b/>
                <w:bCs/>
                <w:color w:val="000000"/>
                <w:sz w:val="24"/>
                <w:szCs w:val="24"/>
                <w:lang w:eastAsia="es-CO"/>
              </w:rPr>
              <w:t>.</w:t>
            </w:r>
            <w:r w:rsidRPr="009C0689">
              <w:rPr>
                <w:rFonts w:eastAsia="Times New Roman" w:cs="Times New Roman"/>
                <w:b/>
                <w:bCs/>
                <w:color w:val="000000"/>
                <w:sz w:val="24"/>
                <w:szCs w:val="24"/>
                <w:lang w:eastAsia="es-CO"/>
              </w:rPr>
              <w:t xml:space="preserve"> 2012</w:t>
            </w:r>
          </w:p>
        </w:tc>
        <w:tc>
          <w:tcPr>
            <w:tcW w:w="1192" w:type="dxa"/>
            <w:tcBorders>
              <w:top w:val="single" w:sz="4" w:space="0" w:color="auto"/>
              <w:left w:val="nil"/>
              <w:bottom w:val="nil"/>
              <w:right w:val="single" w:sz="4" w:space="0" w:color="auto"/>
            </w:tcBorders>
            <w:shd w:val="clear" w:color="auto" w:fill="auto"/>
            <w:vAlign w:val="bottom"/>
            <w:hideMark/>
          </w:tcPr>
          <w:p w14:paraId="044E90E1" w14:textId="77777777" w:rsidR="0057758C" w:rsidRPr="009C0689" w:rsidRDefault="0057758C"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Ene-Dic 2013</w:t>
            </w:r>
          </w:p>
        </w:tc>
        <w:tc>
          <w:tcPr>
            <w:tcW w:w="1251" w:type="dxa"/>
            <w:tcBorders>
              <w:top w:val="single" w:sz="4" w:space="0" w:color="auto"/>
              <w:left w:val="nil"/>
              <w:bottom w:val="nil"/>
              <w:right w:val="single" w:sz="4" w:space="0" w:color="auto"/>
            </w:tcBorders>
            <w:shd w:val="clear" w:color="auto" w:fill="auto"/>
            <w:vAlign w:val="bottom"/>
            <w:hideMark/>
          </w:tcPr>
          <w:p w14:paraId="5518BC90" w14:textId="77777777" w:rsidR="0057758C" w:rsidRPr="009C0689" w:rsidRDefault="0057758C"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Ene-Dic 2014</w:t>
            </w:r>
          </w:p>
        </w:tc>
        <w:tc>
          <w:tcPr>
            <w:tcW w:w="1192" w:type="dxa"/>
            <w:tcBorders>
              <w:top w:val="single" w:sz="4" w:space="0" w:color="auto"/>
              <w:left w:val="nil"/>
              <w:bottom w:val="single" w:sz="4" w:space="0" w:color="auto"/>
              <w:right w:val="single" w:sz="4" w:space="0" w:color="auto"/>
            </w:tcBorders>
            <w:shd w:val="clear" w:color="auto" w:fill="auto"/>
            <w:noWrap/>
            <w:vAlign w:val="bottom"/>
            <w:hideMark/>
          </w:tcPr>
          <w:p w14:paraId="3106BC53" w14:textId="2B526B6C" w:rsidR="0057758C" w:rsidRPr="009C0689" w:rsidRDefault="00D20AFA" w:rsidP="009C0689">
            <w:pPr>
              <w:spacing w:before="120" w:after="120" w:line="276" w:lineRule="auto"/>
              <w:rPr>
                <w:rFonts w:eastAsia="Times New Roman" w:cs="Times New Roman"/>
                <w:b/>
                <w:bCs/>
                <w:color w:val="000000"/>
                <w:sz w:val="24"/>
                <w:szCs w:val="24"/>
                <w:lang w:eastAsia="es-CO"/>
              </w:rPr>
            </w:pPr>
            <w:r>
              <w:rPr>
                <w:rFonts w:eastAsia="Times New Roman" w:cs="Times New Roman"/>
                <w:b/>
                <w:bCs/>
                <w:color w:val="000000"/>
                <w:sz w:val="24"/>
                <w:szCs w:val="24"/>
                <w:lang w:eastAsia="es-CO"/>
              </w:rPr>
              <w:t>Var. Abs.</w:t>
            </w:r>
          </w:p>
        </w:tc>
        <w:tc>
          <w:tcPr>
            <w:tcW w:w="1192" w:type="dxa"/>
            <w:tcBorders>
              <w:top w:val="single" w:sz="4" w:space="0" w:color="auto"/>
              <w:left w:val="nil"/>
              <w:bottom w:val="single" w:sz="4" w:space="0" w:color="auto"/>
              <w:right w:val="single" w:sz="4" w:space="0" w:color="auto"/>
            </w:tcBorders>
            <w:shd w:val="clear" w:color="auto" w:fill="auto"/>
            <w:noWrap/>
            <w:vAlign w:val="bottom"/>
            <w:hideMark/>
          </w:tcPr>
          <w:p w14:paraId="6A739816" w14:textId="77777777" w:rsidR="0057758C" w:rsidRPr="009C0689" w:rsidRDefault="0057758C"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Var. %</w:t>
            </w:r>
          </w:p>
        </w:tc>
      </w:tr>
      <w:tr w:rsidR="0057758C" w:rsidRPr="009C0689" w14:paraId="4127CE6A" w14:textId="77777777" w:rsidTr="007F045E">
        <w:trPr>
          <w:trHeight w:val="239"/>
        </w:trPr>
        <w:tc>
          <w:tcPr>
            <w:tcW w:w="180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876C3E" w14:textId="77777777" w:rsidR="0057758C" w:rsidRPr="009C0689" w:rsidRDefault="0057758C"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FARC</w:t>
            </w:r>
          </w:p>
        </w:tc>
        <w:tc>
          <w:tcPr>
            <w:tcW w:w="1192" w:type="dxa"/>
            <w:tcBorders>
              <w:top w:val="single" w:sz="4" w:space="0" w:color="auto"/>
              <w:left w:val="nil"/>
              <w:bottom w:val="single" w:sz="4" w:space="0" w:color="auto"/>
              <w:right w:val="single" w:sz="4" w:space="0" w:color="auto"/>
            </w:tcBorders>
            <w:shd w:val="clear" w:color="auto" w:fill="auto"/>
            <w:vAlign w:val="bottom"/>
            <w:hideMark/>
          </w:tcPr>
          <w:p w14:paraId="1C505F51"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741</w:t>
            </w:r>
          </w:p>
        </w:tc>
        <w:tc>
          <w:tcPr>
            <w:tcW w:w="1192" w:type="dxa"/>
            <w:tcBorders>
              <w:top w:val="single" w:sz="4" w:space="0" w:color="auto"/>
              <w:left w:val="nil"/>
              <w:bottom w:val="single" w:sz="4" w:space="0" w:color="auto"/>
              <w:right w:val="single" w:sz="4" w:space="0" w:color="auto"/>
            </w:tcBorders>
            <w:shd w:val="clear" w:color="auto" w:fill="auto"/>
            <w:vAlign w:val="bottom"/>
            <w:hideMark/>
          </w:tcPr>
          <w:p w14:paraId="52656344"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1111</w:t>
            </w:r>
          </w:p>
        </w:tc>
        <w:tc>
          <w:tcPr>
            <w:tcW w:w="1251" w:type="dxa"/>
            <w:tcBorders>
              <w:top w:val="single" w:sz="4" w:space="0" w:color="auto"/>
              <w:left w:val="nil"/>
              <w:bottom w:val="single" w:sz="4" w:space="0" w:color="auto"/>
              <w:right w:val="single" w:sz="4" w:space="0" w:color="auto"/>
            </w:tcBorders>
            <w:shd w:val="clear" w:color="auto" w:fill="auto"/>
            <w:noWrap/>
            <w:vAlign w:val="bottom"/>
            <w:hideMark/>
          </w:tcPr>
          <w:p w14:paraId="169E146D"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1175</w:t>
            </w:r>
          </w:p>
        </w:tc>
        <w:tc>
          <w:tcPr>
            <w:tcW w:w="1192" w:type="dxa"/>
            <w:tcBorders>
              <w:top w:val="nil"/>
              <w:left w:val="nil"/>
              <w:bottom w:val="single" w:sz="4" w:space="0" w:color="auto"/>
              <w:right w:val="single" w:sz="4" w:space="0" w:color="auto"/>
            </w:tcBorders>
            <w:shd w:val="clear" w:color="auto" w:fill="auto"/>
            <w:noWrap/>
            <w:vAlign w:val="bottom"/>
            <w:hideMark/>
          </w:tcPr>
          <w:p w14:paraId="49826294"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64</w:t>
            </w:r>
          </w:p>
        </w:tc>
        <w:tc>
          <w:tcPr>
            <w:tcW w:w="1192" w:type="dxa"/>
            <w:tcBorders>
              <w:top w:val="nil"/>
              <w:left w:val="nil"/>
              <w:bottom w:val="single" w:sz="4" w:space="0" w:color="auto"/>
              <w:right w:val="single" w:sz="4" w:space="0" w:color="auto"/>
            </w:tcBorders>
            <w:shd w:val="clear" w:color="auto" w:fill="auto"/>
            <w:noWrap/>
            <w:vAlign w:val="bottom"/>
            <w:hideMark/>
          </w:tcPr>
          <w:p w14:paraId="2A0C9E76"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6%</w:t>
            </w:r>
          </w:p>
        </w:tc>
      </w:tr>
      <w:tr w:rsidR="0057758C" w:rsidRPr="009C0689" w14:paraId="6E8F357D" w14:textId="77777777" w:rsidTr="007F045E">
        <w:trPr>
          <w:trHeight w:val="479"/>
        </w:trPr>
        <w:tc>
          <w:tcPr>
            <w:tcW w:w="1809" w:type="dxa"/>
            <w:tcBorders>
              <w:top w:val="nil"/>
              <w:left w:val="single" w:sz="4" w:space="0" w:color="auto"/>
              <w:bottom w:val="single" w:sz="4" w:space="0" w:color="auto"/>
              <w:right w:val="single" w:sz="4" w:space="0" w:color="auto"/>
            </w:tcBorders>
            <w:shd w:val="clear" w:color="auto" w:fill="auto"/>
            <w:vAlign w:val="bottom"/>
            <w:hideMark/>
          </w:tcPr>
          <w:p w14:paraId="2F267F2B" w14:textId="77777777" w:rsidR="0057758C" w:rsidRPr="009C0689" w:rsidRDefault="0057758C"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AUTODEFENSAS</w:t>
            </w:r>
          </w:p>
        </w:tc>
        <w:tc>
          <w:tcPr>
            <w:tcW w:w="1192" w:type="dxa"/>
            <w:tcBorders>
              <w:top w:val="nil"/>
              <w:left w:val="nil"/>
              <w:bottom w:val="nil"/>
              <w:right w:val="nil"/>
            </w:tcBorders>
            <w:shd w:val="clear" w:color="auto" w:fill="auto"/>
            <w:noWrap/>
            <w:vAlign w:val="bottom"/>
            <w:hideMark/>
          </w:tcPr>
          <w:p w14:paraId="72E9531C"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0</w:t>
            </w:r>
          </w:p>
        </w:tc>
        <w:tc>
          <w:tcPr>
            <w:tcW w:w="1192" w:type="dxa"/>
            <w:tcBorders>
              <w:top w:val="nil"/>
              <w:left w:val="single" w:sz="4" w:space="0" w:color="auto"/>
              <w:bottom w:val="single" w:sz="4" w:space="0" w:color="auto"/>
              <w:right w:val="single" w:sz="4" w:space="0" w:color="auto"/>
            </w:tcBorders>
            <w:shd w:val="clear" w:color="auto" w:fill="auto"/>
            <w:vAlign w:val="bottom"/>
            <w:hideMark/>
          </w:tcPr>
          <w:p w14:paraId="7C2645BD"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0</w:t>
            </w:r>
          </w:p>
        </w:tc>
        <w:tc>
          <w:tcPr>
            <w:tcW w:w="1251" w:type="dxa"/>
            <w:tcBorders>
              <w:top w:val="nil"/>
              <w:left w:val="nil"/>
              <w:bottom w:val="single" w:sz="4" w:space="0" w:color="auto"/>
              <w:right w:val="single" w:sz="4" w:space="0" w:color="auto"/>
            </w:tcBorders>
            <w:shd w:val="clear" w:color="auto" w:fill="auto"/>
            <w:noWrap/>
            <w:vAlign w:val="bottom"/>
            <w:hideMark/>
          </w:tcPr>
          <w:p w14:paraId="634E6B81"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0</w:t>
            </w:r>
          </w:p>
        </w:tc>
        <w:tc>
          <w:tcPr>
            <w:tcW w:w="1192" w:type="dxa"/>
            <w:tcBorders>
              <w:top w:val="nil"/>
              <w:left w:val="nil"/>
              <w:bottom w:val="single" w:sz="4" w:space="0" w:color="auto"/>
              <w:right w:val="single" w:sz="4" w:space="0" w:color="auto"/>
            </w:tcBorders>
            <w:shd w:val="clear" w:color="auto" w:fill="auto"/>
            <w:noWrap/>
            <w:vAlign w:val="bottom"/>
            <w:hideMark/>
          </w:tcPr>
          <w:p w14:paraId="527F19D7"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0</w:t>
            </w:r>
          </w:p>
        </w:tc>
        <w:tc>
          <w:tcPr>
            <w:tcW w:w="1192" w:type="dxa"/>
            <w:tcBorders>
              <w:top w:val="nil"/>
              <w:left w:val="nil"/>
              <w:bottom w:val="single" w:sz="4" w:space="0" w:color="auto"/>
              <w:right w:val="single" w:sz="4" w:space="0" w:color="auto"/>
            </w:tcBorders>
            <w:shd w:val="clear" w:color="auto" w:fill="auto"/>
            <w:noWrap/>
            <w:vAlign w:val="bottom"/>
            <w:hideMark/>
          </w:tcPr>
          <w:p w14:paraId="710F2F1C" w14:textId="77777777" w:rsidR="0057758C" w:rsidRPr="009C0689" w:rsidRDefault="0057758C" w:rsidP="009C0689">
            <w:pPr>
              <w:spacing w:before="120" w:after="120" w:line="276" w:lineRule="auto"/>
              <w:rPr>
                <w:rFonts w:eastAsia="Times New Roman" w:cs="Times New Roman"/>
                <w:color w:val="000000"/>
                <w:sz w:val="24"/>
                <w:szCs w:val="24"/>
                <w:lang w:eastAsia="es-CO"/>
              </w:rPr>
            </w:pPr>
            <w:r w:rsidRPr="009C0689">
              <w:rPr>
                <w:rFonts w:eastAsia="Times New Roman" w:cs="Times New Roman"/>
                <w:color w:val="000000"/>
                <w:sz w:val="24"/>
                <w:szCs w:val="24"/>
                <w:lang w:eastAsia="es-CO"/>
              </w:rPr>
              <w:t> </w:t>
            </w:r>
          </w:p>
        </w:tc>
      </w:tr>
      <w:tr w:rsidR="0057758C" w:rsidRPr="009C0689" w14:paraId="4C994DA5" w14:textId="77777777" w:rsidTr="007F045E">
        <w:trPr>
          <w:trHeight w:val="239"/>
        </w:trPr>
        <w:tc>
          <w:tcPr>
            <w:tcW w:w="1809" w:type="dxa"/>
            <w:tcBorders>
              <w:top w:val="nil"/>
              <w:left w:val="single" w:sz="4" w:space="0" w:color="auto"/>
              <w:bottom w:val="single" w:sz="4" w:space="0" w:color="auto"/>
              <w:right w:val="single" w:sz="4" w:space="0" w:color="auto"/>
            </w:tcBorders>
            <w:shd w:val="clear" w:color="auto" w:fill="auto"/>
            <w:vAlign w:val="bottom"/>
            <w:hideMark/>
          </w:tcPr>
          <w:p w14:paraId="0703E10B" w14:textId="77777777" w:rsidR="0057758C" w:rsidRPr="009C0689" w:rsidRDefault="0057758C"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ELN</w:t>
            </w:r>
          </w:p>
        </w:tc>
        <w:tc>
          <w:tcPr>
            <w:tcW w:w="1192" w:type="dxa"/>
            <w:tcBorders>
              <w:top w:val="single" w:sz="4" w:space="0" w:color="auto"/>
              <w:left w:val="nil"/>
              <w:bottom w:val="single" w:sz="4" w:space="0" w:color="auto"/>
              <w:right w:val="single" w:sz="4" w:space="0" w:color="auto"/>
            </w:tcBorders>
            <w:shd w:val="clear" w:color="auto" w:fill="auto"/>
            <w:vAlign w:val="bottom"/>
            <w:hideMark/>
          </w:tcPr>
          <w:p w14:paraId="3ADD1460"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110</w:t>
            </w:r>
          </w:p>
        </w:tc>
        <w:tc>
          <w:tcPr>
            <w:tcW w:w="1192" w:type="dxa"/>
            <w:tcBorders>
              <w:top w:val="nil"/>
              <w:left w:val="nil"/>
              <w:bottom w:val="single" w:sz="4" w:space="0" w:color="auto"/>
              <w:right w:val="single" w:sz="4" w:space="0" w:color="auto"/>
            </w:tcBorders>
            <w:shd w:val="clear" w:color="auto" w:fill="auto"/>
            <w:vAlign w:val="bottom"/>
            <w:hideMark/>
          </w:tcPr>
          <w:p w14:paraId="4E637540"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237</w:t>
            </w:r>
          </w:p>
        </w:tc>
        <w:tc>
          <w:tcPr>
            <w:tcW w:w="1251" w:type="dxa"/>
            <w:tcBorders>
              <w:top w:val="nil"/>
              <w:left w:val="nil"/>
              <w:bottom w:val="single" w:sz="4" w:space="0" w:color="auto"/>
              <w:right w:val="single" w:sz="4" w:space="0" w:color="auto"/>
            </w:tcBorders>
            <w:shd w:val="clear" w:color="auto" w:fill="auto"/>
            <w:noWrap/>
            <w:vAlign w:val="bottom"/>
            <w:hideMark/>
          </w:tcPr>
          <w:p w14:paraId="5895F1F0"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170</w:t>
            </w:r>
          </w:p>
        </w:tc>
        <w:tc>
          <w:tcPr>
            <w:tcW w:w="1192" w:type="dxa"/>
            <w:tcBorders>
              <w:top w:val="nil"/>
              <w:left w:val="nil"/>
              <w:bottom w:val="single" w:sz="4" w:space="0" w:color="auto"/>
              <w:right w:val="single" w:sz="4" w:space="0" w:color="auto"/>
            </w:tcBorders>
            <w:shd w:val="clear" w:color="auto" w:fill="auto"/>
            <w:noWrap/>
            <w:vAlign w:val="bottom"/>
            <w:hideMark/>
          </w:tcPr>
          <w:p w14:paraId="0B6F6E4A"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-67</w:t>
            </w:r>
          </w:p>
        </w:tc>
        <w:tc>
          <w:tcPr>
            <w:tcW w:w="1192" w:type="dxa"/>
            <w:tcBorders>
              <w:top w:val="nil"/>
              <w:left w:val="nil"/>
              <w:bottom w:val="single" w:sz="4" w:space="0" w:color="auto"/>
              <w:right w:val="single" w:sz="4" w:space="0" w:color="auto"/>
            </w:tcBorders>
            <w:shd w:val="clear" w:color="auto" w:fill="auto"/>
            <w:noWrap/>
            <w:vAlign w:val="bottom"/>
            <w:hideMark/>
          </w:tcPr>
          <w:p w14:paraId="4CE6C827"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-28%</w:t>
            </w:r>
          </w:p>
        </w:tc>
      </w:tr>
      <w:tr w:rsidR="0057758C" w:rsidRPr="009C0689" w14:paraId="6730B941" w14:textId="77777777" w:rsidTr="007F045E">
        <w:trPr>
          <w:trHeight w:val="239"/>
        </w:trPr>
        <w:tc>
          <w:tcPr>
            <w:tcW w:w="1809" w:type="dxa"/>
            <w:tcBorders>
              <w:top w:val="nil"/>
              <w:left w:val="single" w:sz="4" w:space="0" w:color="auto"/>
              <w:bottom w:val="single" w:sz="4" w:space="0" w:color="auto"/>
              <w:right w:val="single" w:sz="4" w:space="0" w:color="auto"/>
            </w:tcBorders>
            <w:shd w:val="clear" w:color="auto" w:fill="auto"/>
            <w:vAlign w:val="bottom"/>
            <w:hideMark/>
          </w:tcPr>
          <w:p w14:paraId="304485BD" w14:textId="77777777" w:rsidR="0057758C" w:rsidRPr="009C0689" w:rsidRDefault="0057758C"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DISIDENCIAS</w:t>
            </w:r>
          </w:p>
        </w:tc>
        <w:tc>
          <w:tcPr>
            <w:tcW w:w="1192" w:type="dxa"/>
            <w:tcBorders>
              <w:top w:val="nil"/>
              <w:left w:val="nil"/>
              <w:bottom w:val="single" w:sz="4" w:space="0" w:color="auto"/>
              <w:right w:val="single" w:sz="4" w:space="0" w:color="auto"/>
            </w:tcBorders>
            <w:shd w:val="clear" w:color="auto" w:fill="auto"/>
            <w:vAlign w:val="bottom"/>
            <w:hideMark/>
          </w:tcPr>
          <w:p w14:paraId="4FCB727C"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w:t>
            </w:r>
          </w:p>
        </w:tc>
        <w:tc>
          <w:tcPr>
            <w:tcW w:w="1192" w:type="dxa"/>
            <w:tcBorders>
              <w:top w:val="nil"/>
              <w:left w:val="nil"/>
              <w:bottom w:val="single" w:sz="4" w:space="0" w:color="auto"/>
              <w:right w:val="single" w:sz="4" w:space="0" w:color="auto"/>
            </w:tcBorders>
            <w:shd w:val="clear" w:color="auto" w:fill="auto"/>
            <w:vAlign w:val="bottom"/>
            <w:hideMark/>
          </w:tcPr>
          <w:p w14:paraId="4AF3DC2F"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w:t>
            </w:r>
          </w:p>
        </w:tc>
        <w:tc>
          <w:tcPr>
            <w:tcW w:w="1251" w:type="dxa"/>
            <w:tcBorders>
              <w:top w:val="nil"/>
              <w:left w:val="nil"/>
              <w:bottom w:val="single" w:sz="4" w:space="0" w:color="auto"/>
              <w:right w:val="single" w:sz="4" w:space="0" w:color="auto"/>
            </w:tcBorders>
            <w:shd w:val="clear" w:color="auto" w:fill="auto"/>
            <w:noWrap/>
            <w:vAlign w:val="bottom"/>
            <w:hideMark/>
          </w:tcPr>
          <w:p w14:paraId="0852C873"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4</w:t>
            </w:r>
          </w:p>
        </w:tc>
        <w:tc>
          <w:tcPr>
            <w:tcW w:w="1192" w:type="dxa"/>
            <w:tcBorders>
              <w:top w:val="nil"/>
              <w:left w:val="nil"/>
              <w:bottom w:val="single" w:sz="4" w:space="0" w:color="auto"/>
              <w:right w:val="single" w:sz="4" w:space="0" w:color="auto"/>
            </w:tcBorders>
            <w:shd w:val="clear" w:color="auto" w:fill="auto"/>
            <w:noWrap/>
            <w:vAlign w:val="bottom"/>
            <w:hideMark/>
          </w:tcPr>
          <w:p w14:paraId="6AE0A14B"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2</w:t>
            </w:r>
          </w:p>
        </w:tc>
        <w:tc>
          <w:tcPr>
            <w:tcW w:w="1192" w:type="dxa"/>
            <w:tcBorders>
              <w:top w:val="nil"/>
              <w:left w:val="nil"/>
              <w:bottom w:val="single" w:sz="4" w:space="0" w:color="auto"/>
              <w:right w:val="single" w:sz="4" w:space="0" w:color="auto"/>
            </w:tcBorders>
            <w:shd w:val="clear" w:color="auto" w:fill="auto"/>
            <w:noWrap/>
            <w:vAlign w:val="bottom"/>
            <w:hideMark/>
          </w:tcPr>
          <w:p w14:paraId="469898F5"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100%</w:t>
            </w:r>
          </w:p>
        </w:tc>
      </w:tr>
      <w:tr w:rsidR="0057758C" w:rsidRPr="009C0689" w14:paraId="54753902" w14:textId="77777777" w:rsidTr="007F045E">
        <w:trPr>
          <w:trHeight w:val="239"/>
        </w:trPr>
        <w:tc>
          <w:tcPr>
            <w:tcW w:w="1809" w:type="dxa"/>
            <w:tcBorders>
              <w:top w:val="nil"/>
              <w:left w:val="single" w:sz="4" w:space="0" w:color="auto"/>
              <w:bottom w:val="single" w:sz="4" w:space="0" w:color="auto"/>
              <w:right w:val="single" w:sz="4" w:space="0" w:color="auto"/>
            </w:tcBorders>
            <w:shd w:val="clear" w:color="auto" w:fill="auto"/>
            <w:vAlign w:val="bottom"/>
            <w:hideMark/>
          </w:tcPr>
          <w:p w14:paraId="533FF30A" w14:textId="77777777" w:rsidR="0057758C" w:rsidRPr="009C0689" w:rsidRDefault="0057758C" w:rsidP="009C0689">
            <w:pPr>
              <w:spacing w:before="120" w:after="120" w:line="276" w:lineRule="auto"/>
              <w:rPr>
                <w:rFonts w:eastAsia="Times New Roman" w:cs="Times New Roman"/>
                <w:b/>
                <w:bCs/>
                <w:color w:val="000000"/>
                <w:sz w:val="24"/>
                <w:szCs w:val="24"/>
                <w:lang w:eastAsia="es-CO"/>
              </w:rPr>
            </w:pPr>
            <w:r w:rsidRPr="009C0689">
              <w:rPr>
                <w:rFonts w:eastAsia="Times New Roman" w:cs="Times New Roman"/>
                <w:b/>
                <w:bCs/>
                <w:color w:val="000000"/>
                <w:sz w:val="24"/>
                <w:szCs w:val="24"/>
                <w:lang w:eastAsia="es-CO"/>
              </w:rPr>
              <w:t>TOTAL</w:t>
            </w:r>
          </w:p>
        </w:tc>
        <w:tc>
          <w:tcPr>
            <w:tcW w:w="1192" w:type="dxa"/>
            <w:tcBorders>
              <w:top w:val="nil"/>
              <w:left w:val="nil"/>
              <w:bottom w:val="single" w:sz="4" w:space="0" w:color="auto"/>
              <w:right w:val="single" w:sz="4" w:space="0" w:color="auto"/>
            </w:tcBorders>
            <w:shd w:val="clear" w:color="auto" w:fill="auto"/>
            <w:vAlign w:val="bottom"/>
            <w:hideMark/>
          </w:tcPr>
          <w:p w14:paraId="575BAD35"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852</w:t>
            </w:r>
          </w:p>
        </w:tc>
        <w:tc>
          <w:tcPr>
            <w:tcW w:w="1192" w:type="dxa"/>
            <w:tcBorders>
              <w:top w:val="nil"/>
              <w:left w:val="nil"/>
              <w:bottom w:val="single" w:sz="4" w:space="0" w:color="auto"/>
              <w:right w:val="single" w:sz="4" w:space="0" w:color="auto"/>
            </w:tcBorders>
            <w:shd w:val="clear" w:color="auto" w:fill="auto"/>
            <w:vAlign w:val="bottom"/>
            <w:hideMark/>
          </w:tcPr>
          <w:p w14:paraId="7310BDA4"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1350</w:t>
            </w:r>
          </w:p>
        </w:tc>
        <w:tc>
          <w:tcPr>
            <w:tcW w:w="1251" w:type="dxa"/>
            <w:tcBorders>
              <w:top w:val="nil"/>
              <w:left w:val="nil"/>
              <w:bottom w:val="single" w:sz="4" w:space="0" w:color="auto"/>
              <w:right w:val="single" w:sz="4" w:space="0" w:color="auto"/>
            </w:tcBorders>
            <w:shd w:val="clear" w:color="auto" w:fill="auto"/>
            <w:noWrap/>
            <w:vAlign w:val="bottom"/>
            <w:hideMark/>
          </w:tcPr>
          <w:p w14:paraId="6448324A"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1349</w:t>
            </w:r>
          </w:p>
        </w:tc>
        <w:tc>
          <w:tcPr>
            <w:tcW w:w="1192" w:type="dxa"/>
            <w:tcBorders>
              <w:top w:val="nil"/>
              <w:left w:val="nil"/>
              <w:bottom w:val="single" w:sz="4" w:space="0" w:color="auto"/>
              <w:right w:val="single" w:sz="4" w:space="0" w:color="auto"/>
            </w:tcBorders>
            <w:shd w:val="clear" w:color="auto" w:fill="auto"/>
            <w:noWrap/>
            <w:vAlign w:val="bottom"/>
            <w:hideMark/>
          </w:tcPr>
          <w:p w14:paraId="40BE2882"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-1</w:t>
            </w:r>
          </w:p>
        </w:tc>
        <w:tc>
          <w:tcPr>
            <w:tcW w:w="1192" w:type="dxa"/>
            <w:tcBorders>
              <w:top w:val="nil"/>
              <w:left w:val="nil"/>
              <w:bottom w:val="single" w:sz="4" w:space="0" w:color="auto"/>
              <w:right w:val="single" w:sz="4" w:space="0" w:color="auto"/>
            </w:tcBorders>
            <w:shd w:val="clear" w:color="auto" w:fill="auto"/>
            <w:noWrap/>
            <w:vAlign w:val="bottom"/>
            <w:hideMark/>
          </w:tcPr>
          <w:p w14:paraId="5A24E515" w14:textId="77777777" w:rsidR="0057758C" w:rsidRPr="009C0689" w:rsidRDefault="0057758C" w:rsidP="009C0689">
            <w:pPr>
              <w:spacing w:before="120" w:after="120" w:line="276" w:lineRule="auto"/>
              <w:jc w:val="right"/>
              <w:rPr>
                <w:rFonts w:eastAsia="Times New Roman" w:cs="Times New Roman"/>
                <w:color w:val="000000"/>
                <w:sz w:val="24"/>
                <w:szCs w:val="24"/>
                <w:lang w:eastAsia="es-CO"/>
              </w:rPr>
            </w:pPr>
            <w:r w:rsidRPr="009C0689">
              <w:rPr>
                <w:rFonts w:eastAsia="Times New Roman" w:cs="Times New Roman"/>
                <w:color w:val="000000"/>
                <w:sz w:val="24"/>
                <w:szCs w:val="24"/>
                <w:lang w:eastAsia="es-CO"/>
              </w:rPr>
              <w:t>0%</w:t>
            </w:r>
          </w:p>
        </w:tc>
      </w:tr>
    </w:tbl>
    <w:p w14:paraId="2839667E" w14:textId="77777777" w:rsidR="0057758C" w:rsidRPr="009C0689" w:rsidRDefault="0057758C" w:rsidP="009C0689">
      <w:pPr>
        <w:spacing w:before="120" w:after="120" w:line="276" w:lineRule="auto"/>
        <w:jc w:val="both"/>
        <w:rPr>
          <w:sz w:val="24"/>
          <w:szCs w:val="24"/>
        </w:rPr>
      </w:pPr>
    </w:p>
    <w:p w14:paraId="3D1DAF77" w14:textId="0BF5FDB8" w:rsidR="0057758C" w:rsidRDefault="0057758C" w:rsidP="009C0689">
      <w:pPr>
        <w:spacing w:before="120" w:after="120" w:line="276" w:lineRule="auto"/>
        <w:jc w:val="both"/>
        <w:rPr>
          <w:sz w:val="24"/>
          <w:szCs w:val="24"/>
        </w:rPr>
      </w:pPr>
      <w:r w:rsidRPr="009C0689">
        <w:rPr>
          <w:sz w:val="24"/>
          <w:szCs w:val="24"/>
        </w:rPr>
        <w:t xml:space="preserve">En </w:t>
      </w:r>
      <w:r w:rsidR="00442FB8" w:rsidRPr="009C0689">
        <w:rPr>
          <w:sz w:val="24"/>
          <w:szCs w:val="24"/>
        </w:rPr>
        <w:t xml:space="preserve">cuanto al tema de capturas de miembros de grupos armados ilegales los datos muestran que en 2014 se produce un incremento marginal, sin embargo, los últimos 3 años muestran un aumento importante de las capturas. La siguiente gráfica muestra el comportamiento histórico de las capturas. </w:t>
      </w:r>
    </w:p>
    <w:p w14:paraId="758B8BE9" w14:textId="77777777" w:rsidR="000259D5" w:rsidRDefault="000259D5" w:rsidP="009C0689">
      <w:pPr>
        <w:spacing w:before="120" w:after="120" w:line="276" w:lineRule="auto"/>
        <w:jc w:val="both"/>
        <w:rPr>
          <w:sz w:val="24"/>
          <w:szCs w:val="24"/>
        </w:rPr>
      </w:pPr>
    </w:p>
    <w:p w14:paraId="05836132" w14:textId="55CA4031" w:rsidR="000259D5" w:rsidRPr="000259D5" w:rsidRDefault="000259D5" w:rsidP="000259D5">
      <w:pPr>
        <w:spacing w:before="120" w:after="120" w:line="276" w:lineRule="auto"/>
        <w:jc w:val="center"/>
        <w:rPr>
          <w:b/>
          <w:i/>
          <w:sz w:val="24"/>
          <w:szCs w:val="24"/>
        </w:rPr>
      </w:pPr>
      <w:r w:rsidRPr="000259D5">
        <w:rPr>
          <w:b/>
          <w:i/>
          <w:sz w:val="24"/>
          <w:szCs w:val="24"/>
        </w:rPr>
        <w:t>Capturas a miembros de grupos armados ilegales.  2003-2014.</w:t>
      </w:r>
    </w:p>
    <w:p w14:paraId="36E12AD8" w14:textId="3723C272" w:rsidR="0057758C" w:rsidRPr="009C0689" w:rsidRDefault="0057758C" w:rsidP="009C0689">
      <w:pPr>
        <w:spacing w:before="120" w:after="120" w:line="276" w:lineRule="auto"/>
        <w:jc w:val="both"/>
        <w:rPr>
          <w:sz w:val="24"/>
          <w:szCs w:val="24"/>
        </w:rPr>
      </w:pPr>
      <w:r w:rsidRPr="009C0689">
        <w:rPr>
          <w:noProof/>
          <w:sz w:val="24"/>
          <w:szCs w:val="24"/>
          <w:lang w:eastAsia="es-CO"/>
        </w:rPr>
        <w:drawing>
          <wp:inline distT="0" distB="0" distL="0" distR="0" wp14:anchorId="71E772B1" wp14:editId="30624C22">
            <wp:extent cx="5305425" cy="2425700"/>
            <wp:effectExtent l="0" t="0" r="9525" b="1270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E431E8" w14:textId="52EFD885" w:rsidR="000259D5" w:rsidRPr="000259D5" w:rsidRDefault="000259D5" w:rsidP="009C0689">
      <w:pPr>
        <w:spacing w:before="120" w:after="120" w:line="276" w:lineRule="auto"/>
        <w:jc w:val="both"/>
        <w:rPr>
          <w:i/>
          <w:sz w:val="24"/>
          <w:szCs w:val="24"/>
        </w:rPr>
      </w:pPr>
      <w:r w:rsidRPr="009C0689">
        <w:rPr>
          <w:i/>
          <w:sz w:val="24"/>
          <w:szCs w:val="24"/>
        </w:rPr>
        <w:t xml:space="preserve">Ministerio de defensa nacional. </w:t>
      </w:r>
    </w:p>
    <w:p w14:paraId="1ACB19F5" w14:textId="1360BC8A" w:rsidR="00442FB8" w:rsidRPr="009C0689" w:rsidRDefault="00B34FD7" w:rsidP="009C0689">
      <w:pPr>
        <w:spacing w:before="120" w:after="120" w:line="276" w:lineRule="auto"/>
        <w:jc w:val="both"/>
        <w:rPr>
          <w:sz w:val="24"/>
          <w:szCs w:val="24"/>
        </w:rPr>
      </w:pPr>
      <w:r w:rsidRPr="009C0689">
        <w:rPr>
          <w:sz w:val="24"/>
          <w:szCs w:val="24"/>
        </w:rPr>
        <w:t>Por otro lado, l</w:t>
      </w:r>
      <w:r w:rsidR="00442FB8" w:rsidRPr="009C0689">
        <w:rPr>
          <w:sz w:val="24"/>
          <w:szCs w:val="24"/>
        </w:rPr>
        <w:t>os datos que muestran una reducción importante</w:t>
      </w:r>
      <w:r w:rsidR="00492729" w:rsidRPr="009C0689">
        <w:rPr>
          <w:sz w:val="24"/>
          <w:szCs w:val="24"/>
        </w:rPr>
        <w:t xml:space="preserve"> durante el año 2014,</w:t>
      </w:r>
      <w:r w:rsidR="00442FB8" w:rsidRPr="009C0689">
        <w:rPr>
          <w:sz w:val="24"/>
          <w:szCs w:val="24"/>
        </w:rPr>
        <w:t xml:space="preserve"> </w:t>
      </w:r>
      <w:r w:rsidRPr="009C0689">
        <w:rPr>
          <w:sz w:val="24"/>
          <w:szCs w:val="24"/>
        </w:rPr>
        <w:t>hace referencia a</w:t>
      </w:r>
      <w:r w:rsidR="00442FB8" w:rsidRPr="009C0689">
        <w:rPr>
          <w:sz w:val="24"/>
          <w:szCs w:val="24"/>
        </w:rPr>
        <w:t xml:space="preserve"> los miembros de grupos armados ilegales muertos</w:t>
      </w:r>
      <w:r w:rsidR="00492729" w:rsidRPr="009C0689">
        <w:rPr>
          <w:sz w:val="24"/>
          <w:szCs w:val="24"/>
        </w:rPr>
        <w:t xml:space="preserve"> en combate. La siguiente gráfica muestra la evolución histórica de los muertos en combate. </w:t>
      </w:r>
      <w:r w:rsidR="00442FB8" w:rsidRPr="009C0689">
        <w:rPr>
          <w:sz w:val="24"/>
          <w:szCs w:val="24"/>
        </w:rPr>
        <w:t xml:space="preserve"> </w:t>
      </w:r>
    </w:p>
    <w:p w14:paraId="7CAF8758" w14:textId="444B645A" w:rsidR="00442FB8" w:rsidRPr="000259D5" w:rsidRDefault="000259D5" w:rsidP="000259D5">
      <w:pPr>
        <w:spacing w:before="120" w:after="120" w:line="276" w:lineRule="auto"/>
        <w:jc w:val="center"/>
        <w:rPr>
          <w:b/>
          <w:i/>
          <w:sz w:val="24"/>
          <w:szCs w:val="24"/>
        </w:rPr>
      </w:pPr>
      <w:r w:rsidRPr="000259D5">
        <w:rPr>
          <w:b/>
          <w:i/>
          <w:sz w:val="24"/>
          <w:szCs w:val="24"/>
        </w:rPr>
        <w:t>Muertes en combate de grupos armados ilegales. 2003-2014.</w:t>
      </w:r>
    </w:p>
    <w:p w14:paraId="74E835C6" w14:textId="5263E3DD" w:rsidR="00442FB8" w:rsidRPr="009C0689" w:rsidRDefault="00442FB8" w:rsidP="009C0689">
      <w:pPr>
        <w:spacing w:before="120" w:after="120" w:line="276" w:lineRule="auto"/>
        <w:jc w:val="center"/>
        <w:rPr>
          <w:sz w:val="24"/>
          <w:szCs w:val="24"/>
        </w:rPr>
      </w:pPr>
      <w:r w:rsidRPr="009C0689">
        <w:rPr>
          <w:noProof/>
          <w:sz w:val="24"/>
          <w:szCs w:val="24"/>
          <w:lang w:eastAsia="es-CO"/>
        </w:rPr>
        <w:drawing>
          <wp:inline distT="0" distB="0" distL="0" distR="0" wp14:anchorId="5D297771" wp14:editId="2C7E506E">
            <wp:extent cx="4572000" cy="1854200"/>
            <wp:effectExtent l="0" t="0" r="0" b="1270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B63E20C" w14:textId="1DA3B85B" w:rsidR="00442FB8" w:rsidRPr="000259D5" w:rsidRDefault="000259D5" w:rsidP="009C0689">
      <w:pPr>
        <w:spacing w:before="120" w:after="120" w:line="276" w:lineRule="auto"/>
        <w:jc w:val="both"/>
        <w:rPr>
          <w:i/>
          <w:sz w:val="24"/>
          <w:szCs w:val="24"/>
        </w:rPr>
      </w:pPr>
      <w:r>
        <w:rPr>
          <w:sz w:val="24"/>
          <w:szCs w:val="24"/>
        </w:rPr>
        <w:t xml:space="preserve">              </w:t>
      </w:r>
      <w:r w:rsidRPr="009C0689">
        <w:rPr>
          <w:i/>
          <w:sz w:val="24"/>
          <w:szCs w:val="24"/>
        </w:rPr>
        <w:t xml:space="preserve">Ministerio de defensa nacional. </w:t>
      </w:r>
      <w:r>
        <w:rPr>
          <w:sz w:val="24"/>
          <w:szCs w:val="24"/>
        </w:rPr>
        <w:t xml:space="preserve"> </w:t>
      </w:r>
    </w:p>
    <w:p w14:paraId="1314AC3E" w14:textId="75ACB250" w:rsidR="00492729" w:rsidRPr="009C0689" w:rsidRDefault="00492729" w:rsidP="009C0689">
      <w:pPr>
        <w:spacing w:before="120" w:after="120" w:line="276" w:lineRule="auto"/>
        <w:jc w:val="both"/>
        <w:rPr>
          <w:sz w:val="24"/>
          <w:szCs w:val="24"/>
        </w:rPr>
      </w:pPr>
      <w:r w:rsidRPr="009C0689">
        <w:rPr>
          <w:sz w:val="24"/>
          <w:szCs w:val="24"/>
        </w:rPr>
        <w:t>Esta reducción de los muertos de miembros de grupos armados ilegales, obedecería a tres circunstancias</w:t>
      </w:r>
      <w:r w:rsidR="00B34FD7" w:rsidRPr="009C0689">
        <w:rPr>
          <w:sz w:val="24"/>
          <w:szCs w:val="24"/>
        </w:rPr>
        <w:t xml:space="preserve">. En primer lugar, las diferentes treguas unilaterales han mostrado un impacto positivo en salvar vidas de militares, guerrilleros y civiles. Es decir, la </w:t>
      </w:r>
      <w:r w:rsidR="007F045E" w:rsidRPr="009C0689">
        <w:rPr>
          <w:sz w:val="24"/>
          <w:szCs w:val="24"/>
        </w:rPr>
        <w:t>reducción de acciones militares</w:t>
      </w:r>
      <w:r w:rsidR="00B34FD7" w:rsidRPr="009C0689">
        <w:rPr>
          <w:sz w:val="24"/>
          <w:szCs w:val="24"/>
        </w:rPr>
        <w:t xml:space="preserve"> ha mostrado un impacto en los temas de letalidad de la guerra. La segunda explicación, se debe a una política adoptada por el ministerio de defensa para promover la desmovilización y capturas y utilizar la letalidad solo en casos extremos. Esta política se adoptó, principalmente, después del escándalo de los falsos positivos. Por último, obedece a la </w:t>
      </w:r>
      <w:r w:rsidR="00D20AFA">
        <w:rPr>
          <w:sz w:val="24"/>
          <w:szCs w:val="24"/>
        </w:rPr>
        <w:t xml:space="preserve">estrategia militar de las FARC </w:t>
      </w:r>
      <w:r w:rsidR="00B34FD7" w:rsidRPr="009C0689">
        <w:rPr>
          <w:sz w:val="24"/>
          <w:szCs w:val="24"/>
        </w:rPr>
        <w:t>que evita los combates y acciones de involucren más de 30 guerrilleros, en cambio han privilegiado acciones de tipo comando.</w:t>
      </w:r>
    </w:p>
    <w:p w14:paraId="7EE705BF" w14:textId="4FCADC79" w:rsidR="00B34FD7" w:rsidRPr="009C0689" w:rsidRDefault="00B34FD7" w:rsidP="009C0689">
      <w:pPr>
        <w:spacing w:before="120" w:after="120" w:line="276" w:lineRule="auto"/>
        <w:jc w:val="both"/>
        <w:rPr>
          <w:sz w:val="24"/>
          <w:szCs w:val="24"/>
        </w:rPr>
      </w:pPr>
      <w:r w:rsidRPr="009C0689">
        <w:rPr>
          <w:sz w:val="24"/>
          <w:szCs w:val="24"/>
        </w:rPr>
        <w:t>En todo caso el impacto m</w:t>
      </w:r>
      <w:r w:rsidR="00972F73" w:rsidRPr="009C0689">
        <w:rPr>
          <w:sz w:val="24"/>
          <w:szCs w:val="24"/>
        </w:rPr>
        <w:t xml:space="preserve">ás importante en esta reducción han sido las diferentes treguas unilaterales. </w:t>
      </w:r>
      <w:r w:rsidR="007F045E" w:rsidRPr="009C0689">
        <w:rPr>
          <w:sz w:val="24"/>
          <w:szCs w:val="24"/>
        </w:rPr>
        <w:t>Cuando se analiza en caso de militares muertos o heridos en actos del servicio se estable lo siguiente.  E</w:t>
      </w:r>
      <w:r w:rsidR="00972F73" w:rsidRPr="009C0689">
        <w:rPr>
          <w:sz w:val="24"/>
          <w:szCs w:val="24"/>
        </w:rPr>
        <w:t xml:space="preserve">l número de miembros de la fuera pública muertos en acto del servicio se redujo significativamente, se pasó de 361 en 2013 a 289 en 2014, como lo muestra la siguiente gráfica. </w:t>
      </w:r>
    </w:p>
    <w:p w14:paraId="04E053F9" w14:textId="1E4C9C07" w:rsidR="00492729" w:rsidRPr="000259D5" w:rsidRDefault="000259D5" w:rsidP="000259D5">
      <w:pPr>
        <w:spacing w:before="120" w:after="120" w:line="276" w:lineRule="auto"/>
        <w:jc w:val="center"/>
        <w:rPr>
          <w:b/>
          <w:sz w:val="24"/>
          <w:szCs w:val="24"/>
        </w:rPr>
      </w:pPr>
      <w:r w:rsidRPr="000259D5">
        <w:rPr>
          <w:b/>
          <w:sz w:val="24"/>
          <w:szCs w:val="24"/>
        </w:rPr>
        <w:t xml:space="preserve">Muertos en actos del servicio de miembros de la Fuerza Pública. 2003-2014. </w:t>
      </w:r>
    </w:p>
    <w:p w14:paraId="2D0219ED" w14:textId="1C84A131" w:rsidR="00492729" w:rsidRPr="009C0689" w:rsidRDefault="00B34FD7" w:rsidP="000259D5">
      <w:pPr>
        <w:spacing w:before="120" w:after="120" w:line="276" w:lineRule="auto"/>
        <w:jc w:val="center"/>
        <w:rPr>
          <w:sz w:val="24"/>
          <w:szCs w:val="24"/>
        </w:rPr>
      </w:pPr>
      <w:r w:rsidRPr="009C0689">
        <w:rPr>
          <w:noProof/>
          <w:sz w:val="24"/>
          <w:szCs w:val="24"/>
          <w:lang w:eastAsia="es-CO"/>
        </w:rPr>
        <w:drawing>
          <wp:inline distT="0" distB="0" distL="0" distR="0" wp14:anchorId="2728A5F3" wp14:editId="2628C453">
            <wp:extent cx="5276850" cy="2597150"/>
            <wp:effectExtent l="0" t="0" r="0" b="1270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C0A8D6F" w14:textId="3BE0D3CF" w:rsidR="000259D5" w:rsidRPr="009C0689" w:rsidRDefault="000259D5" w:rsidP="000259D5">
      <w:pPr>
        <w:spacing w:before="120" w:after="120" w:line="276" w:lineRule="auto"/>
        <w:jc w:val="both"/>
        <w:rPr>
          <w:i/>
          <w:sz w:val="24"/>
          <w:szCs w:val="24"/>
        </w:rPr>
      </w:pPr>
      <w:r>
        <w:rPr>
          <w:i/>
          <w:sz w:val="24"/>
          <w:szCs w:val="24"/>
        </w:rPr>
        <w:t xml:space="preserve">    </w:t>
      </w:r>
      <w:r w:rsidRPr="009C0689">
        <w:rPr>
          <w:i/>
          <w:sz w:val="24"/>
          <w:szCs w:val="24"/>
        </w:rPr>
        <w:t xml:space="preserve">Ministerio de defensa nacional. </w:t>
      </w:r>
    </w:p>
    <w:p w14:paraId="4AC9E79D" w14:textId="3A6B3CD7" w:rsidR="009F732A" w:rsidRPr="009C0689" w:rsidRDefault="009F732A" w:rsidP="009C0689">
      <w:pPr>
        <w:spacing w:before="120" w:after="120" w:line="276" w:lineRule="auto"/>
        <w:jc w:val="both"/>
        <w:rPr>
          <w:sz w:val="24"/>
          <w:szCs w:val="24"/>
        </w:rPr>
      </w:pPr>
      <w:r w:rsidRPr="009C0689">
        <w:rPr>
          <w:sz w:val="24"/>
          <w:szCs w:val="24"/>
        </w:rPr>
        <w:t xml:space="preserve">Algo que llama la atención de la anterior gráfica es el análisis de los años electorales. Nótese por ejemplo como en el años 2010, cuando se produjeron las elecciones nacionales y en el año 2011 cuando se desarrollaron las elecciones locales y regionales el número de miembros de la fuerzas pública muertos en actos del servicio fue alto si se compara con los dos años anteriores y posteriores. </w:t>
      </w:r>
      <w:r w:rsidR="00942C78" w:rsidRPr="009C0689">
        <w:rPr>
          <w:sz w:val="24"/>
          <w:szCs w:val="24"/>
        </w:rPr>
        <w:t xml:space="preserve"> </w:t>
      </w:r>
    </w:p>
    <w:p w14:paraId="38749137" w14:textId="546D5C19" w:rsidR="00972F73" w:rsidRDefault="00972F73" w:rsidP="009C0689">
      <w:pPr>
        <w:spacing w:before="120" w:after="120" w:line="276" w:lineRule="auto"/>
        <w:jc w:val="both"/>
        <w:rPr>
          <w:sz w:val="24"/>
          <w:szCs w:val="24"/>
        </w:rPr>
      </w:pPr>
      <w:r w:rsidRPr="009C0689">
        <w:rPr>
          <w:sz w:val="24"/>
          <w:szCs w:val="24"/>
        </w:rPr>
        <w:t>De hecho, como lo muestra la siguiente gráfica, los meses de mayo y junio, donde se produjeron las treguas electorales de las FARC, signifi</w:t>
      </w:r>
      <w:r w:rsidR="00421744">
        <w:rPr>
          <w:sz w:val="24"/>
          <w:szCs w:val="24"/>
        </w:rPr>
        <w:t xml:space="preserve">caron una reducción sustancial </w:t>
      </w:r>
      <w:r w:rsidR="009F732A" w:rsidRPr="009C0689">
        <w:rPr>
          <w:sz w:val="24"/>
          <w:szCs w:val="24"/>
        </w:rPr>
        <w:t xml:space="preserve">en el número </w:t>
      </w:r>
      <w:r w:rsidR="00942C78" w:rsidRPr="009C0689">
        <w:rPr>
          <w:sz w:val="24"/>
          <w:szCs w:val="24"/>
        </w:rPr>
        <w:t>de muertos en combate</w:t>
      </w:r>
      <w:r w:rsidR="007F045E" w:rsidRPr="009C0689">
        <w:rPr>
          <w:sz w:val="24"/>
          <w:szCs w:val="24"/>
        </w:rPr>
        <w:t xml:space="preserve"> para el caso de la fuerza pública</w:t>
      </w:r>
      <w:r w:rsidR="00942C78" w:rsidRPr="009C0689">
        <w:rPr>
          <w:sz w:val="24"/>
          <w:szCs w:val="24"/>
        </w:rPr>
        <w:t>.</w:t>
      </w:r>
    </w:p>
    <w:p w14:paraId="22DF68A1" w14:textId="77777777" w:rsidR="000259D5" w:rsidRDefault="000259D5" w:rsidP="009C0689">
      <w:pPr>
        <w:spacing w:before="120" w:after="120" w:line="276" w:lineRule="auto"/>
        <w:jc w:val="both"/>
        <w:rPr>
          <w:sz w:val="24"/>
          <w:szCs w:val="24"/>
        </w:rPr>
      </w:pPr>
    </w:p>
    <w:p w14:paraId="6FBDAA93" w14:textId="77777777" w:rsidR="000259D5" w:rsidRDefault="000259D5" w:rsidP="009C0689">
      <w:pPr>
        <w:spacing w:before="120" w:after="120" w:line="276" w:lineRule="auto"/>
        <w:jc w:val="both"/>
        <w:rPr>
          <w:sz w:val="24"/>
          <w:szCs w:val="24"/>
        </w:rPr>
      </w:pPr>
    </w:p>
    <w:p w14:paraId="5A45AB2F" w14:textId="77777777" w:rsidR="000259D5" w:rsidRDefault="000259D5" w:rsidP="009C0689">
      <w:pPr>
        <w:spacing w:before="120" w:after="120" w:line="276" w:lineRule="auto"/>
        <w:jc w:val="both"/>
        <w:rPr>
          <w:sz w:val="24"/>
          <w:szCs w:val="24"/>
        </w:rPr>
      </w:pPr>
    </w:p>
    <w:p w14:paraId="3DC50590" w14:textId="77777777" w:rsidR="000259D5" w:rsidRDefault="000259D5" w:rsidP="009C0689">
      <w:pPr>
        <w:spacing w:before="120" w:after="120" w:line="276" w:lineRule="auto"/>
        <w:jc w:val="both"/>
        <w:rPr>
          <w:sz w:val="24"/>
          <w:szCs w:val="24"/>
        </w:rPr>
      </w:pPr>
    </w:p>
    <w:p w14:paraId="4A7336D6" w14:textId="77777777" w:rsidR="000259D5" w:rsidRDefault="000259D5" w:rsidP="009C0689">
      <w:pPr>
        <w:spacing w:before="120" w:after="120" w:line="276" w:lineRule="auto"/>
        <w:jc w:val="both"/>
        <w:rPr>
          <w:sz w:val="24"/>
          <w:szCs w:val="24"/>
        </w:rPr>
      </w:pPr>
    </w:p>
    <w:p w14:paraId="410B7B32" w14:textId="77777777" w:rsidR="000259D5" w:rsidRDefault="000259D5" w:rsidP="009C0689">
      <w:pPr>
        <w:spacing w:before="120" w:after="120" w:line="276" w:lineRule="auto"/>
        <w:jc w:val="both"/>
        <w:rPr>
          <w:sz w:val="24"/>
          <w:szCs w:val="24"/>
        </w:rPr>
      </w:pPr>
    </w:p>
    <w:p w14:paraId="708203A1" w14:textId="77777777" w:rsidR="000259D5" w:rsidRDefault="000259D5" w:rsidP="009C0689">
      <w:pPr>
        <w:spacing w:before="120" w:after="120" w:line="276" w:lineRule="auto"/>
        <w:jc w:val="both"/>
        <w:rPr>
          <w:sz w:val="24"/>
          <w:szCs w:val="24"/>
        </w:rPr>
      </w:pPr>
    </w:p>
    <w:p w14:paraId="46D228DB" w14:textId="26D35F4F" w:rsidR="000259D5" w:rsidRPr="000259D5" w:rsidRDefault="000259D5" w:rsidP="000259D5">
      <w:pPr>
        <w:spacing w:before="120" w:after="120" w:line="276" w:lineRule="auto"/>
        <w:jc w:val="center"/>
        <w:rPr>
          <w:b/>
          <w:sz w:val="24"/>
          <w:szCs w:val="24"/>
        </w:rPr>
      </w:pPr>
      <w:r w:rsidRPr="000259D5">
        <w:rPr>
          <w:b/>
          <w:sz w:val="24"/>
          <w:szCs w:val="24"/>
        </w:rPr>
        <w:t>Evolución mensual de muertos de la fuerza pública en actos del servicio. 2014.</w:t>
      </w:r>
    </w:p>
    <w:p w14:paraId="6AF3B53B" w14:textId="46993D60" w:rsidR="00972F73" w:rsidRPr="009C0689" w:rsidRDefault="00972F73" w:rsidP="009C0689">
      <w:pPr>
        <w:spacing w:before="120" w:after="120" w:line="276" w:lineRule="auto"/>
        <w:jc w:val="both"/>
        <w:rPr>
          <w:sz w:val="24"/>
          <w:szCs w:val="24"/>
        </w:rPr>
      </w:pPr>
      <w:r w:rsidRPr="009C0689">
        <w:rPr>
          <w:noProof/>
          <w:sz w:val="24"/>
          <w:szCs w:val="24"/>
          <w:lang w:eastAsia="es-CO"/>
        </w:rPr>
        <w:drawing>
          <wp:inline distT="0" distB="0" distL="0" distR="0" wp14:anchorId="7FD46E67" wp14:editId="44CDE90C">
            <wp:extent cx="5612130" cy="2559050"/>
            <wp:effectExtent l="0" t="0" r="7620" b="1270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7C98DD" w14:textId="2D3D4727" w:rsidR="00972F73" w:rsidRPr="000259D5" w:rsidRDefault="000259D5" w:rsidP="009C0689">
      <w:pPr>
        <w:spacing w:before="120" w:after="120" w:line="276" w:lineRule="auto"/>
        <w:jc w:val="both"/>
        <w:rPr>
          <w:i/>
          <w:sz w:val="24"/>
          <w:szCs w:val="24"/>
        </w:rPr>
      </w:pPr>
      <w:r w:rsidRPr="009C0689">
        <w:rPr>
          <w:i/>
          <w:sz w:val="24"/>
          <w:szCs w:val="24"/>
        </w:rPr>
        <w:t xml:space="preserve">Ministerio de defensa nacional. </w:t>
      </w:r>
    </w:p>
    <w:p w14:paraId="210116A7" w14:textId="116B4517" w:rsidR="00972F73" w:rsidRDefault="00942C78" w:rsidP="009C0689">
      <w:pPr>
        <w:spacing w:before="120" w:after="120" w:line="276" w:lineRule="auto"/>
        <w:jc w:val="both"/>
        <w:rPr>
          <w:sz w:val="24"/>
          <w:szCs w:val="24"/>
        </w:rPr>
      </w:pPr>
      <w:r w:rsidRPr="009C0689">
        <w:rPr>
          <w:sz w:val="24"/>
          <w:szCs w:val="24"/>
        </w:rPr>
        <w:t>Situación similar se presenta en el caso de miembros de la fuerza pública heridos en actos del servicio, a pesar de ser un año electoral, donde las FARC acostumbraban a realizar fuertes ofensivas, el</w:t>
      </w:r>
      <w:r w:rsidR="00421744">
        <w:rPr>
          <w:sz w:val="24"/>
          <w:szCs w:val="24"/>
        </w:rPr>
        <w:t xml:space="preserve"> año 2014 mostró una reducción </w:t>
      </w:r>
      <w:r w:rsidRPr="009C0689">
        <w:rPr>
          <w:sz w:val="24"/>
          <w:szCs w:val="24"/>
        </w:rPr>
        <w:t xml:space="preserve">en cerca de 500 heridos comparado con el año 2013. La siguiente gráfica muestra el comparativo anual histórico. </w:t>
      </w:r>
    </w:p>
    <w:p w14:paraId="15FC13C6" w14:textId="7D15C494" w:rsidR="000259D5" w:rsidRPr="000259D5" w:rsidRDefault="000259D5" w:rsidP="000259D5">
      <w:pPr>
        <w:spacing w:before="120" w:after="120" w:line="276" w:lineRule="auto"/>
        <w:jc w:val="center"/>
        <w:rPr>
          <w:b/>
          <w:sz w:val="24"/>
          <w:szCs w:val="24"/>
        </w:rPr>
      </w:pPr>
      <w:r w:rsidRPr="000259D5">
        <w:rPr>
          <w:b/>
          <w:sz w:val="24"/>
          <w:szCs w:val="24"/>
        </w:rPr>
        <w:t>Heridos de la fuerza pública en actos del servicio. 2003.2014.</w:t>
      </w:r>
    </w:p>
    <w:p w14:paraId="41CEB945" w14:textId="2193B8CE" w:rsidR="00972F73" w:rsidRPr="009C0689" w:rsidRDefault="00942C78" w:rsidP="009C0689">
      <w:pPr>
        <w:spacing w:before="120" w:after="120" w:line="276" w:lineRule="auto"/>
        <w:jc w:val="center"/>
        <w:rPr>
          <w:sz w:val="24"/>
          <w:szCs w:val="24"/>
        </w:rPr>
      </w:pPr>
      <w:r w:rsidRPr="009C0689">
        <w:rPr>
          <w:noProof/>
          <w:sz w:val="24"/>
          <w:szCs w:val="24"/>
          <w:lang w:eastAsia="es-CO"/>
        </w:rPr>
        <w:drawing>
          <wp:inline distT="0" distB="0" distL="0" distR="0" wp14:anchorId="3B2568AA" wp14:editId="6B11D8F0">
            <wp:extent cx="5219065" cy="2432050"/>
            <wp:effectExtent l="0" t="0" r="635" b="635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D10029A" w14:textId="77777777" w:rsidR="000259D5" w:rsidRDefault="000259D5" w:rsidP="009C0689">
      <w:pPr>
        <w:spacing w:before="120" w:after="120" w:line="276" w:lineRule="auto"/>
        <w:jc w:val="both"/>
        <w:rPr>
          <w:i/>
          <w:sz w:val="24"/>
          <w:szCs w:val="24"/>
        </w:rPr>
      </w:pPr>
      <w:r>
        <w:rPr>
          <w:i/>
          <w:sz w:val="24"/>
          <w:szCs w:val="24"/>
        </w:rPr>
        <w:t xml:space="preserve">    </w:t>
      </w:r>
      <w:r w:rsidRPr="009C0689">
        <w:rPr>
          <w:i/>
          <w:sz w:val="24"/>
          <w:szCs w:val="24"/>
        </w:rPr>
        <w:t xml:space="preserve">Ministerio de defensa nacional. </w:t>
      </w:r>
    </w:p>
    <w:p w14:paraId="0932567E" w14:textId="10E4CC71" w:rsidR="00354FC4" w:rsidRDefault="00942C78" w:rsidP="009C0689">
      <w:pPr>
        <w:spacing w:before="120" w:after="120" w:line="276" w:lineRule="auto"/>
        <w:jc w:val="both"/>
        <w:rPr>
          <w:sz w:val="24"/>
          <w:szCs w:val="24"/>
        </w:rPr>
      </w:pPr>
      <w:r w:rsidRPr="009C0689">
        <w:rPr>
          <w:sz w:val="24"/>
          <w:szCs w:val="24"/>
        </w:rPr>
        <w:t xml:space="preserve">Así las cosas </w:t>
      </w:r>
      <w:r w:rsidR="000A7030" w:rsidRPr="009C0689">
        <w:rPr>
          <w:sz w:val="24"/>
          <w:szCs w:val="24"/>
        </w:rPr>
        <w:t>la</w:t>
      </w:r>
      <w:r w:rsidR="005C796C" w:rsidRPr="009C0689">
        <w:rPr>
          <w:sz w:val="24"/>
          <w:szCs w:val="24"/>
        </w:rPr>
        <w:t xml:space="preserve"> intensidad de la confrontación</w:t>
      </w:r>
      <w:r w:rsidR="000A7030" w:rsidRPr="009C0689">
        <w:rPr>
          <w:sz w:val="24"/>
          <w:szCs w:val="24"/>
        </w:rPr>
        <w:t xml:space="preserve"> durante el año 2014 muestra la reducción importante de acciones armadas en todo el país, si bien se encontraron varias explicaciones, aquella que más peso tiene se refiere a las diferentes treguas declaradas por las FARC durante el 2014. De ser así, en el año 2015 la tendencia</w:t>
      </w:r>
      <w:r w:rsidR="005C796C" w:rsidRPr="009C0689">
        <w:rPr>
          <w:sz w:val="24"/>
          <w:szCs w:val="24"/>
        </w:rPr>
        <w:t xml:space="preserve"> sería la misma</w:t>
      </w:r>
      <w:r w:rsidR="000A7030" w:rsidRPr="009C0689">
        <w:rPr>
          <w:sz w:val="24"/>
          <w:szCs w:val="24"/>
        </w:rPr>
        <w:t>, derivado de</w:t>
      </w:r>
      <w:r w:rsidR="005C796C" w:rsidRPr="009C0689">
        <w:rPr>
          <w:sz w:val="24"/>
          <w:szCs w:val="24"/>
        </w:rPr>
        <w:t xml:space="preserve"> la tregua</w:t>
      </w:r>
      <w:r w:rsidR="000A7030" w:rsidRPr="009C0689">
        <w:rPr>
          <w:sz w:val="24"/>
          <w:szCs w:val="24"/>
        </w:rPr>
        <w:t xml:space="preserve"> unilateral e indefinida declara por las FARC el 20 de diciembre de 2014 y que se ha mantenido por los primeros dos meses del año 2015.  </w:t>
      </w:r>
      <w:r w:rsidR="00C26FB6" w:rsidRPr="009C0689">
        <w:rPr>
          <w:sz w:val="24"/>
          <w:szCs w:val="24"/>
        </w:rPr>
        <w:t xml:space="preserve">Esta situación a su vez ha permitido que cerca de mil </w:t>
      </w:r>
      <w:r w:rsidR="00421744">
        <w:rPr>
          <w:sz w:val="24"/>
          <w:szCs w:val="24"/>
        </w:rPr>
        <w:t xml:space="preserve">combatientes no hubieran muerto </w:t>
      </w:r>
      <w:r w:rsidR="00CE1F1F">
        <w:rPr>
          <w:sz w:val="24"/>
          <w:szCs w:val="24"/>
        </w:rPr>
        <w:t xml:space="preserve">o quedado </w:t>
      </w:r>
      <w:r w:rsidR="00C26FB6" w:rsidRPr="009C0689">
        <w:rPr>
          <w:sz w:val="24"/>
          <w:szCs w:val="24"/>
        </w:rPr>
        <w:t xml:space="preserve">heridos si se comparan la cifra de 2014 con 2013. </w:t>
      </w:r>
      <w:r w:rsidR="00FA0442">
        <w:rPr>
          <w:sz w:val="24"/>
          <w:szCs w:val="24"/>
        </w:rPr>
        <w:t>La cifra de civiles afectados en su vida o en su integridad física se puede calificar también de excepcional.  Ya el grupo de memoria histórica en cabeza de Gonzalo Sánchez, había concluido que por cada combatiente muerto perdían la vida cuatro civiles. Otros analistas habían planteado iguales proporciones para el caso de los heridos. Por tanto no es arbitrario decir que en el caso de la población civil no han sido menos de cuatro mil personas las que conservado su vida o su integridad debido a este proceso de negociaciones.</w:t>
      </w:r>
    </w:p>
    <w:p w14:paraId="142EE3B0" w14:textId="02DF93AE" w:rsidR="00CE1F1F" w:rsidRDefault="00FA0442" w:rsidP="009C0689">
      <w:pPr>
        <w:spacing w:before="120" w:after="120" w:line="276" w:lineRule="auto"/>
        <w:jc w:val="both"/>
        <w:rPr>
          <w:sz w:val="24"/>
          <w:szCs w:val="24"/>
        </w:rPr>
      </w:pPr>
      <w:r>
        <w:rPr>
          <w:sz w:val="24"/>
          <w:szCs w:val="24"/>
        </w:rPr>
        <w:t xml:space="preserve"> L</w:t>
      </w:r>
      <w:r w:rsidR="00354FC4">
        <w:rPr>
          <w:sz w:val="24"/>
          <w:szCs w:val="24"/>
        </w:rPr>
        <w:t>a reducción significativa del desplazamiento forzado</w:t>
      </w:r>
      <w:r>
        <w:rPr>
          <w:sz w:val="24"/>
          <w:szCs w:val="24"/>
        </w:rPr>
        <w:t xml:space="preserve"> es una de las muestras fehacientes de la disminución de impactos sobre los civiles con ocasión de las treguas y los avances hacia la paz. </w:t>
      </w:r>
      <w:r w:rsidR="00354FC4">
        <w:rPr>
          <w:sz w:val="24"/>
          <w:szCs w:val="24"/>
        </w:rPr>
        <w:t xml:space="preserve"> Las</w:t>
      </w:r>
      <w:r w:rsidR="00CE1F1F">
        <w:rPr>
          <w:sz w:val="24"/>
          <w:szCs w:val="24"/>
        </w:rPr>
        <w:t xml:space="preserve"> cifras oficiales muestran una disminución de cerca del 60%.</w:t>
      </w:r>
    </w:p>
    <w:p w14:paraId="4F7CBA16" w14:textId="77777777" w:rsidR="00CE1F1F" w:rsidRDefault="00CE1F1F" w:rsidP="00CE1F1F">
      <w:r>
        <w:rPr>
          <w:noProof/>
          <w:lang w:eastAsia="es-CO"/>
        </w:rPr>
        <w:drawing>
          <wp:inline distT="0" distB="0" distL="0" distR="0" wp14:anchorId="7BF0D1C8" wp14:editId="60ACF1FF">
            <wp:extent cx="5612130" cy="2214245"/>
            <wp:effectExtent l="0" t="0" r="7620" b="1460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EFBB5A8" w14:textId="77777777" w:rsidR="00CE1F1F" w:rsidRDefault="00CE1F1F" w:rsidP="00CE1F1F"/>
    <w:tbl>
      <w:tblPr>
        <w:tblW w:w="9240" w:type="dxa"/>
        <w:tblCellMar>
          <w:left w:w="70" w:type="dxa"/>
          <w:right w:w="70" w:type="dxa"/>
        </w:tblCellMar>
        <w:tblLook w:val="04A0" w:firstRow="1" w:lastRow="0" w:firstColumn="1" w:lastColumn="0" w:noHBand="0" w:noVBand="1"/>
      </w:tblPr>
      <w:tblGrid>
        <w:gridCol w:w="1840"/>
        <w:gridCol w:w="1200"/>
        <w:gridCol w:w="1200"/>
        <w:gridCol w:w="1200"/>
        <w:gridCol w:w="1200"/>
        <w:gridCol w:w="1200"/>
        <w:gridCol w:w="1400"/>
      </w:tblGrid>
      <w:tr w:rsidR="00CE1F1F" w:rsidRPr="00135722" w14:paraId="1A10D167" w14:textId="77777777" w:rsidTr="00CE1F1F">
        <w:trPr>
          <w:trHeight w:val="600"/>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4DBCE" w14:textId="77777777" w:rsidR="00CE1F1F" w:rsidRPr="00135722" w:rsidRDefault="00CE1F1F" w:rsidP="00CE1F1F">
            <w:pPr>
              <w:spacing w:after="0" w:line="240" w:lineRule="auto"/>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321255C"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2010</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9A304C1"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2011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DFA1AC9"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2012</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EE24D1D"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2013</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AB51EEF"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2014</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14:paraId="4170A904" w14:textId="77777777" w:rsidR="00CE1F1F" w:rsidRPr="00135722" w:rsidRDefault="00CE1F1F" w:rsidP="00CE1F1F">
            <w:pPr>
              <w:spacing w:after="0" w:line="240" w:lineRule="auto"/>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Variación % 2014 - 2013</w:t>
            </w:r>
          </w:p>
        </w:tc>
      </w:tr>
      <w:tr w:rsidR="00CE1F1F" w:rsidRPr="00135722" w14:paraId="0ED27E32" w14:textId="77777777" w:rsidTr="00CE1F1F">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123E12D2" w14:textId="77777777" w:rsidR="00CE1F1F" w:rsidRPr="00135722" w:rsidRDefault="00CE1F1F" w:rsidP="00CE1F1F">
            <w:pPr>
              <w:spacing w:after="0" w:line="240" w:lineRule="auto"/>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Nacional</w:t>
            </w:r>
          </w:p>
        </w:tc>
        <w:tc>
          <w:tcPr>
            <w:tcW w:w="1200" w:type="dxa"/>
            <w:tcBorders>
              <w:top w:val="nil"/>
              <w:left w:val="nil"/>
              <w:bottom w:val="single" w:sz="4" w:space="0" w:color="auto"/>
              <w:right w:val="single" w:sz="4" w:space="0" w:color="auto"/>
            </w:tcBorders>
            <w:shd w:val="clear" w:color="auto" w:fill="auto"/>
            <w:noWrap/>
            <w:vAlign w:val="bottom"/>
            <w:hideMark/>
          </w:tcPr>
          <w:p w14:paraId="7264B0D1"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187778</w:t>
            </w:r>
          </w:p>
        </w:tc>
        <w:tc>
          <w:tcPr>
            <w:tcW w:w="1200" w:type="dxa"/>
            <w:tcBorders>
              <w:top w:val="nil"/>
              <w:left w:val="nil"/>
              <w:bottom w:val="single" w:sz="4" w:space="0" w:color="auto"/>
              <w:right w:val="single" w:sz="4" w:space="0" w:color="auto"/>
            </w:tcBorders>
            <w:shd w:val="clear" w:color="auto" w:fill="auto"/>
            <w:noWrap/>
            <w:vAlign w:val="bottom"/>
            <w:hideMark/>
          </w:tcPr>
          <w:p w14:paraId="1BE03A6A"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243408</w:t>
            </w:r>
          </w:p>
        </w:tc>
        <w:tc>
          <w:tcPr>
            <w:tcW w:w="1200" w:type="dxa"/>
            <w:tcBorders>
              <w:top w:val="nil"/>
              <w:left w:val="nil"/>
              <w:bottom w:val="single" w:sz="4" w:space="0" w:color="auto"/>
              <w:right w:val="single" w:sz="4" w:space="0" w:color="auto"/>
            </w:tcBorders>
            <w:shd w:val="clear" w:color="auto" w:fill="auto"/>
            <w:noWrap/>
            <w:vAlign w:val="bottom"/>
            <w:hideMark/>
          </w:tcPr>
          <w:p w14:paraId="042DAAFC"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240474</w:t>
            </w:r>
          </w:p>
        </w:tc>
        <w:tc>
          <w:tcPr>
            <w:tcW w:w="1200" w:type="dxa"/>
            <w:tcBorders>
              <w:top w:val="nil"/>
              <w:left w:val="nil"/>
              <w:bottom w:val="single" w:sz="4" w:space="0" w:color="auto"/>
              <w:right w:val="single" w:sz="4" w:space="0" w:color="auto"/>
            </w:tcBorders>
            <w:shd w:val="clear" w:color="auto" w:fill="auto"/>
            <w:noWrap/>
            <w:vAlign w:val="bottom"/>
            <w:hideMark/>
          </w:tcPr>
          <w:p w14:paraId="67053B0B"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228526</w:t>
            </w:r>
          </w:p>
        </w:tc>
        <w:tc>
          <w:tcPr>
            <w:tcW w:w="1200" w:type="dxa"/>
            <w:tcBorders>
              <w:top w:val="nil"/>
              <w:left w:val="nil"/>
              <w:bottom w:val="single" w:sz="4" w:space="0" w:color="auto"/>
              <w:right w:val="single" w:sz="4" w:space="0" w:color="auto"/>
            </w:tcBorders>
            <w:shd w:val="clear" w:color="auto" w:fill="auto"/>
            <w:noWrap/>
            <w:vAlign w:val="bottom"/>
            <w:hideMark/>
          </w:tcPr>
          <w:p w14:paraId="4EB7095C"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97453</w:t>
            </w:r>
          </w:p>
        </w:tc>
        <w:tc>
          <w:tcPr>
            <w:tcW w:w="1400" w:type="dxa"/>
            <w:tcBorders>
              <w:top w:val="nil"/>
              <w:left w:val="nil"/>
              <w:bottom w:val="single" w:sz="4" w:space="0" w:color="auto"/>
              <w:right w:val="single" w:sz="4" w:space="0" w:color="auto"/>
            </w:tcBorders>
            <w:shd w:val="clear" w:color="auto" w:fill="auto"/>
            <w:noWrap/>
            <w:vAlign w:val="bottom"/>
            <w:hideMark/>
          </w:tcPr>
          <w:p w14:paraId="5EEEEBA2"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-57.36</w:t>
            </w:r>
          </w:p>
        </w:tc>
      </w:tr>
      <w:tr w:rsidR="00CE1F1F" w:rsidRPr="00135722" w14:paraId="487176C9" w14:textId="77777777" w:rsidTr="00CE1F1F">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3C3FFD8F" w14:textId="77777777" w:rsidR="00CE1F1F" w:rsidRPr="00135722" w:rsidRDefault="00CE1F1F" w:rsidP="00CE1F1F">
            <w:pPr>
              <w:spacing w:after="0" w:line="240" w:lineRule="auto"/>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Cauca</w:t>
            </w:r>
          </w:p>
        </w:tc>
        <w:tc>
          <w:tcPr>
            <w:tcW w:w="1200" w:type="dxa"/>
            <w:tcBorders>
              <w:top w:val="nil"/>
              <w:left w:val="nil"/>
              <w:bottom w:val="single" w:sz="4" w:space="0" w:color="auto"/>
              <w:right w:val="single" w:sz="4" w:space="0" w:color="auto"/>
            </w:tcBorders>
            <w:shd w:val="clear" w:color="auto" w:fill="auto"/>
            <w:noWrap/>
            <w:vAlign w:val="bottom"/>
            <w:hideMark/>
          </w:tcPr>
          <w:p w14:paraId="7DEF3608"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13790</w:t>
            </w:r>
          </w:p>
        </w:tc>
        <w:tc>
          <w:tcPr>
            <w:tcW w:w="1200" w:type="dxa"/>
            <w:tcBorders>
              <w:top w:val="nil"/>
              <w:left w:val="nil"/>
              <w:bottom w:val="single" w:sz="4" w:space="0" w:color="auto"/>
              <w:right w:val="single" w:sz="4" w:space="0" w:color="auto"/>
            </w:tcBorders>
            <w:shd w:val="clear" w:color="auto" w:fill="auto"/>
            <w:noWrap/>
            <w:vAlign w:val="bottom"/>
            <w:hideMark/>
          </w:tcPr>
          <w:p w14:paraId="5CF8BE00"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25502</w:t>
            </w:r>
          </w:p>
        </w:tc>
        <w:tc>
          <w:tcPr>
            <w:tcW w:w="1200" w:type="dxa"/>
            <w:tcBorders>
              <w:top w:val="nil"/>
              <w:left w:val="nil"/>
              <w:bottom w:val="single" w:sz="4" w:space="0" w:color="auto"/>
              <w:right w:val="single" w:sz="4" w:space="0" w:color="auto"/>
            </w:tcBorders>
            <w:shd w:val="clear" w:color="auto" w:fill="auto"/>
            <w:noWrap/>
            <w:vAlign w:val="bottom"/>
            <w:hideMark/>
          </w:tcPr>
          <w:p w14:paraId="4D9DF1D2"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33548</w:t>
            </w:r>
          </w:p>
        </w:tc>
        <w:tc>
          <w:tcPr>
            <w:tcW w:w="1200" w:type="dxa"/>
            <w:tcBorders>
              <w:top w:val="nil"/>
              <w:left w:val="nil"/>
              <w:bottom w:val="single" w:sz="4" w:space="0" w:color="auto"/>
              <w:right w:val="single" w:sz="4" w:space="0" w:color="auto"/>
            </w:tcBorders>
            <w:shd w:val="clear" w:color="auto" w:fill="auto"/>
            <w:noWrap/>
            <w:vAlign w:val="bottom"/>
            <w:hideMark/>
          </w:tcPr>
          <w:p w14:paraId="3F52EDBD"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27241</w:t>
            </w:r>
          </w:p>
        </w:tc>
        <w:tc>
          <w:tcPr>
            <w:tcW w:w="1200" w:type="dxa"/>
            <w:tcBorders>
              <w:top w:val="nil"/>
              <w:left w:val="nil"/>
              <w:bottom w:val="single" w:sz="4" w:space="0" w:color="auto"/>
              <w:right w:val="single" w:sz="4" w:space="0" w:color="auto"/>
            </w:tcBorders>
            <w:shd w:val="clear" w:color="auto" w:fill="auto"/>
            <w:noWrap/>
            <w:vAlign w:val="bottom"/>
            <w:hideMark/>
          </w:tcPr>
          <w:p w14:paraId="6B774D70"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8771</w:t>
            </w:r>
          </w:p>
        </w:tc>
        <w:tc>
          <w:tcPr>
            <w:tcW w:w="1400" w:type="dxa"/>
            <w:tcBorders>
              <w:top w:val="nil"/>
              <w:left w:val="nil"/>
              <w:bottom w:val="single" w:sz="4" w:space="0" w:color="auto"/>
              <w:right w:val="single" w:sz="4" w:space="0" w:color="auto"/>
            </w:tcBorders>
            <w:shd w:val="clear" w:color="auto" w:fill="auto"/>
            <w:noWrap/>
            <w:vAlign w:val="bottom"/>
            <w:hideMark/>
          </w:tcPr>
          <w:p w14:paraId="5AE2C376"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-67.80</w:t>
            </w:r>
          </w:p>
        </w:tc>
      </w:tr>
      <w:tr w:rsidR="00CE1F1F" w:rsidRPr="00135722" w14:paraId="26CA26FD" w14:textId="77777777" w:rsidTr="00CE1F1F">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43E6CC98" w14:textId="77777777" w:rsidR="00CE1F1F" w:rsidRPr="00135722" w:rsidRDefault="00CE1F1F" w:rsidP="00CE1F1F">
            <w:pPr>
              <w:spacing w:after="0" w:line="240" w:lineRule="auto"/>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Caquetá</w:t>
            </w:r>
          </w:p>
        </w:tc>
        <w:tc>
          <w:tcPr>
            <w:tcW w:w="1200" w:type="dxa"/>
            <w:tcBorders>
              <w:top w:val="nil"/>
              <w:left w:val="nil"/>
              <w:bottom w:val="single" w:sz="4" w:space="0" w:color="auto"/>
              <w:right w:val="single" w:sz="4" w:space="0" w:color="auto"/>
            </w:tcBorders>
            <w:shd w:val="clear" w:color="auto" w:fill="auto"/>
            <w:noWrap/>
            <w:vAlign w:val="bottom"/>
            <w:hideMark/>
          </w:tcPr>
          <w:p w14:paraId="0843B951"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12731</w:t>
            </w:r>
          </w:p>
        </w:tc>
        <w:tc>
          <w:tcPr>
            <w:tcW w:w="1200" w:type="dxa"/>
            <w:tcBorders>
              <w:top w:val="nil"/>
              <w:left w:val="nil"/>
              <w:bottom w:val="single" w:sz="4" w:space="0" w:color="auto"/>
              <w:right w:val="single" w:sz="4" w:space="0" w:color="auto"/>
            </w:tcBorders>
            <w:shd w:val="clear" w:color="auto" w:fill="auto"/>
            <w:noWrap/>
            <w:vAlign w:val="bottom"/>
            <w:hideMark/>
          </w:tcPr>
          <w:p w14:paraId="29290097"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12716</w:t>
            </w:r>
          </w:p>
        </w:tc>
        <w:tc>
          <w:tcPr>
            <w:tcW w:w="1200" w:type="dxa"/>
            <w:tcBorders>
              <w:top w:val="nil"/>
              <w:left w:val="nil"/>
              <w:bottom w:val="single" w:sz="4" w:space="0" w:color="auto"/>
              <w:right w:val="single" w:sz="4" w:space="0" w:color="auto"/>
            </w:tcBorders>
            <w:shd w:val="clear" w:color="auto" w:fill="auto"/>
            <w:noWrap/>
            <w:vAlign w:val="bottom"/>
            <w:hideMark/>
          </w:tcPr>
          <w:p w14:paraId="2508621F"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12267</w:t>
            </w:r>
          </w:p>
        </w:tc>
        <w:tc>
          <w:tcPr>
            <w:tcW w:w="1200" w:type="dxa"/>
            <w:tcBorders>
              <w:top w:val="nil"/>
              <w:left w:val="nil"/>
              <w:bottom w:val="single" w:sz="4" w:space="0" w:color="auto"/>
              <w:right w:val="single" w:sz="4" w:space="0" w:color="auto"/>
            </w:tcBorders>
            <w:shd w:val="clear" w:color="auto" w:fill="auto"/>
            <w:noWrap/>
            <w:vAlign w:val="bottom"/>
            <w:hideMark/>
          </w:tcPr>
          <w:p w14:paraId="4DA8FAC1"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12083</w:t>
            </w:r>
          </w:p>
        </w:tc>
        <w:tc>
          <w:tcPr>
            <w:tcW w:w="1200" w:type="dxa"/>
            <w:tcBorders>
              <w:top w:val="nil"/>
              <w:left w:val="nil"/>
              <w:bottom w:val="single" w:sz="4" w:space="0" w:color="auto"/>
              <w:right w:val="single" w:sz="4" w:space="0" w:color="auto"/>
            </w:tcBorders>
            <w:shd w:val="clear" w:color="auto" w:fill="auto"/>
            <w:noWrap/>
            <w:vAlign w:val="bottom"/>
            <w:hideMark/>
          </w:tcPr>
          <w:p w14:paraId="66A8A07E"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4574</w:t>
            </w:r>
          </w:p>
        </w:tc>
        <w:tc>
          <w:tcPr>
            <w:tcW w:w="1400" w:type="dxa"/>
            <w:tcBorders>
              <w:top w:val="nil"/>
              <w:left w:val="nil"/>
              <w:bottom w:val="single" w:sz="4" w:space="0" w:color="auto"/>
              <w:right w:val="single" w:sz="4" w:space="0" w:color="auto"/>
            </w:tcBorders>
            <w:shd w:val="clear" w:color="auto" w:fill="auto"/>
            <w:noWrap/>
            <w:vAlign w:val="bottom"/>
            <w:hideMark/>
          </w:tcPr>
          <w:p w14:paraId="6E21EE91"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-62.15</w:t>
            </w:r>
          </w:p>
        </w:tc>
      </w:tr>
      <w:tr w:rsidR="00CE1F1F" w:rsidRPr="00135722" w14:paraId="64D38989" w14:textId="77777777" w:rsidTr="00CE1F1F">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34468A8F" w14:textId="77777777" w:rsidR="00CE1F1F" w:rsidRPr="00135722" w:rsidRDefault="00CE1F1F" w:rsidP="00CE1F1F">
            <w:pPr>
              <w:spacing w:after="0" w:line="240" w:lineRule="auto"/>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Norte de Santander</w:t>
            </w:r>
          </w:p>
        </w:tc>
        <w:tc>
          <w:tcPr>
            <w:tcW w:w="1200" w:type="dxa"/>
            <w:tcBorders>
              <w:top w:val="nil"/>
              <w:left w:val="nil"/>
              <w:bottom w:val="single" w:sz="4" w:space="0" w:color="auto"/>
              <w:right w:val="single" w:sz="4" w:space="0" w:color="auto"/>
            </w:tcBorders>
            <w:shd w:val="clear" w:color="auto" w:fill="auto"/>
            <w:noWrap/>
            <w:vAlign w:val="bottom"/>
            <w:hideMark/>
          </w:tcPr>
          <w:p w14:paraId="113E50D7"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3935</w:t>
            </w:r>
          </w:p>
        </w:tc>
        <w:tc>
          <w:tcPr>
            <w:tcW w:w="1200" w:type="dxa"/>
            <w:tcBorders>
              <w:top w:val="nil"/>
              <w:left w:val="nil"/>
              <w:bottom w:val="single" w:sz="4" w:space="0" w:color="auto"/>
              <w:right w:val="single" w:sz="4" w:space="0" w:color="auto"/>
            </w:tcBorders>
            <w:shd w:val="clear" w:color="auto" w:fill="auto"/>
            <w:noWrap/>
            <w:vAlign w:val="bottom"/>
            <w:hideMark/>
          </w:tcPr>
          <w:p w14:paraId="1EB0071F"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4740</w:t>
            </w:r>
          </w:p>
        </w:tc>
        <w:tc>
          <w:tcPr>
            <w:tcW w:w="1200" w:type="dxa"/>
            <w:tcBorders>
              <w:top w:val="nil"/>
              <w:left w:val="nil"/>
              <w:bottom w:val="single" w:sz="4" w:space="0" w:color="auto"/>
              <w:right w:val="single" w:sz="4" w:space="0" w:color="auto"/>
            </w:tcBorders>
            <w:shd w:val="clear" w:color="auto" w:fill="auto"/>
            <w:noWrap/>
            <w:vAlign w:val="bottom"/>
            <w:hideMark/>
          </w:tcPr>
          <w:p w14:paraId="620E00E2"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7091</w:t>
            </w:r>
          </w:p>
        </w:tc>
        <w:tc>
          <w:tcPr>
            <w:tcW w:w="1200" w:type="dxa"/>
            <w:tcBorders>
              <w:top w:val="nil"/>
              <w:left w:val="nil"/>
              <w:bottom w:val="single" w:sz="4" w:space="0" w:color="auto"/>
              <w:right w:val="single" w:sz="4" w:space="0" w:color="auto"/>
            </w:tcBorders>
            <w:shd w:val="clear" w:color="auto" w:fill="auto"/>
            <w:noWrap/>
            <w:vAlign w:val="bottom"/>
            <w:hideMark/>
          </w:tcPr>
          <w:p w14:paraId="4E44C906"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6983</w:t>
            </w:r>
          </w:p>
        </w:tc>
        <w:tc>
          <w:tcPr>
            <w:tcW w:w="1200" w:type="dxa"/>
            <w:tcBorders>
              <w:top w:val="nil"/>
              <w:left w:val="nil"/>
              <w:bottom w:val="single" w:sz="4" w:space="0" w:color="auto"/>
              <w:right w:val="single" w:sz="4" w:space="0" w:color="auto"/>
            </w:tcBorders>
            <w:shd w:val="clear" w:color="auto" w:fill="auto"/>
            <w:noWrap/>
            <w:vAlign w:val="bottom"/>
            <w:hideMark/>
          </w:tcPr>
          <w:p w14:paraId="3FE0CCBD"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3079</w:t>
            </w:r>
          </w:p>
        </w:tc>
        <w:tc>
          <w:tcPr>
            <w:tcW w:w="1400" w:type="dxa"/>
            <w:tcBorders>
              <w:top w:val="nil"/>
              <w:left w:val="nil"/>
              <w:bottom w:val="single" w:sz="4" w:space="0" w:color="auto"/>
              <w:right w:val="single" w:sz="4" w:space="0" w:color="auto"/>
            </w:tcBorders>
            <w:shd w:val="clear" w:color="auto" w:fill="auto"/>
            <w:noWrap/>
            <w:vAlign w:val="bottom"/>
            <w:hideMark/>
          </w:tcPr>
          <w:p w14:paraId="2E1B352B" w14:textId="77777777" w:rsidR="00CE1F1F" w:rsidRPr="00135722" w:rsidRDefault="00CE1F1F" w:rsidP="00CE1F1F">
            <w:pPr>
              <w:spacing w:after="0" w:line="240" w:lineRule="auto"/>
              <w:jc w:val="right"/>
              <w:rPr>
                <w:rFonts w:ascii="Calibri" w:eastAsia="Times New Roman" w:hAnsi="Calibri" w:cs="Times New Roman"/>
                <w:color w:val="000000"/>
                <w:lang w:eastAsia="es-MX"/>
              </w:rPr>
            </w:pPr>
            <w:r w:rsidRPr="00135722">
              <w:rPr>
                <w:rFonts w:ascii="Calibri" w:eastAsia="Times New Roman" w:hAnsi="Calibri" w:cs="Times New Roman"/>
                <w:color w:val="000000"/>
                <w:lang w:eastAsia="es-MX"/>
              </w:rPr>
              <w:t>-55.91</w:t>
            </w:r>
          </w:p>
        </w:tc>
      </w:tr>
    </w:tbl>
    <w:p w14:paraId="22504196" w14:textId="77777777" w:rsidR="00CE1F1F" w:rsidRDefault="00CE1F1F" w:rsidP="00CE1F1F">
      <w:r>
        <w:t xml:space="preserve">Fuente: Procesado Fundación Paz &amp; Reconciliación. Datos tomados de Unidad para la atención y reparación integral de las víctimas. Actualización 01 de Noviembre 2014 (Tomado Febrero 2015) </w:t>
      </w:r>
    </w:p>
    <w:p w14:paraId="1F69B4BC" w14:textId="65E1A5E9" w:rsidR="00354FC4" w:rsidRPr="00354FC4" w:rsidRDefault="00354FC4" w:rsidP="009C0689">
      <w:pPr>
        <w:spacing w:before="120" w:after="120" w:line="276" w:lineRule="auto"/>
        <w:jc w:val="both"/>
        <w:rPr>
          <w:sz w:val="24"/>
          <w:szCs w:val="24"/>
        </w:rPr>
      </w:pPr>
      <w:r>
        <w:rPr>
          <w:sz w:val="24"/>
          <w:szCs w:val="24"/>
        </w:rPr>
        <w:t xml:space="preserve"> </w:t>
      </w:r>
    </w:p>
    <w:p w14:paraId="1E86D41A" w14:textId="5D8A88EF" w:rsidR="00C26FB6" w:rsidRPr="009C0689" w:rsidRDefault="00C26FB6" w:rsidP="009C0689">
      <w:pPr>
        <w:spacing w:before="120" w:after="120" w:line="276" w:lineRule="auto"/>
        <w:jc w:val="both"/>
        <w:rPr>
          <w:sz w:val="24"/>
          <w:szCs w:val="24"/>
        </w:rPr>
      </w:pPr>
      <w:r w:rsidRPr="009C0689">
        <w:rPr>
          <w:sz w:val="24"/>
          <w:szCs w:val="24"/>
        </w:rPr>
        <w:t xml:space="preserve">Igualmente se puede afirmar </w:t>
      </w:r>
      <w:r w:rsidR="00FA2011" w:rsidRPr="009C0689">
        <w:rPr>
          <w:sz w:val="24"/>
          <w:szCs w:val="24"/>
        </w:rPr>
        <w:t>que la reducción de acciones unilater</w:t>
      </w:r>
      <w:r w:rsidR="00354FC4">
        <w:rPr>
          <w:sz w:val="24"/>
          <w:szCs w:val="24"/>
        </w:rPr>
        <w:t>al</w:t>
      </w:r>
      <w:r w:rsidR="00FA2011" w:rsidRPr="009C0689">
        <w:rPr>
          <w:sz w:val="24"/>
          <w:szCs w:val="24"/>
        </w:rPr>
        <w:t xml:space="preserve">es de las FARC no significó un </w:t>
      </w:r>
      <w:r w:rsidR="00354FC4">
        <w:rPr>
          <w:sz w:val="24"/>
          <w:szCs w:val="24"/>
        </w:rPr>
        <w:t xml:space="preserve">cese bilateral por debajo de la </w:t>
      </w:r>
      <w:r w:rsidR="00FA2011" w:rsidRPr="009C0689">
        <w:rPr>
          <w:sz w:val="24"/>
          <w:szCs w:val="24"/>
        </w:rPr>
        <w:t xml:space="preserve">mesa, como se ha sugerido por algunos actores políticos, de hecho se mostró que la operatividad armada por parte de la fuerza pública continuo siendo importante en las jornadas de tregua unilateral de las FARC. </w:t>
      </w:r>
    </w:p>
    <w:p w14:paraId="7C862026" w14:textId="5A481AE5" w:rsidR="0048028D" w:rsidRPr="009C0689" w:rsidRDefault="00FA2011" w:rsidP="009C0689">
      <w:pPr>
        <w:spacing w:before="120" w:after="120" w:line="276" w:lineRule="auto"/>
        <w:jc w:val="both"/>
        <w:rPr>
          <w:sz w:val="24"/>
          <w:szCs w:val="24"/>
        </w:rPr>
      </w:pPr>
      <w:r w:rsidRPr="009C0689">
        <w:rPr>
          <w:sz w:val="24"/>
          <w:szCs w:val="24"/>
        </w:rPr>
        <w:t xml:space="preserve">Una última conclusión que vale la pena destacar es que a pesar de ser un año electoral se produjo una de las reducciones más importantes en materia de confrontación armada en </w:t>
      </w:r>
      <w:r w:rsidR="005C796C" w:rsidRPr="009C0689">
        <w:rPr>
          <w:sz w:val="24"/>
          <w:szCs w:val="24"/>
        </w:rPr>
        <w:t>las últimas décadas en el país.</w:t>
      </w:r>
      <w:r w:rsidRPr="009C0689">
        <w:rPr>
          <w:sz w:val="24"/>
          <w:szCs w:val="24"/>
        </w:rPr>
        <w:t xml:space="preserve"> Desde el año de 1997, posterior al Pleno del Estado mayor central</w:t>
      </w:r>
      <w:r w:rsidR="0048028D" w:rsidRPr="009C0689">
        <w:rPr>
          <w:sz w:val="24"/>
          <w:szCs w:val="24"/>
        </w:rPr>
        <w:t>,</w:t>
      </w:r>
      <w:r w:rsidRPr="009C0689">
        <w:rPr>
          <w:sz w:val="24"/>
          <w:szCs w:val="24"/>
        </w:rPr>
        <w:t xml:space="preserve"> l</w:t>
      </w:r>
      <w:r w:rsidR="0048028D" w:rsidRPr="009C0689">
        <w:rPr>
          <w:sz w:val="24"/>
          <w:szCs w:val="24"/>
        </w:rPr>
        <w:t xml:space="preserve">as FARC habían </w:t>
      </w:r>
      <w:r w:rsidRPr="009C0689">
        <w:rPr>
          <w:sz w:val="24"/>
          <w:szCs w:val="24"/>
        </w:rPr>
        <w:t xml:space="preserve">desarrollado la estrategia de </w:t>
      </w:r>
      <w:r w:rsidR="0048028D" w:rsidRPr="009C0689">
        <w:rPr>
          <w:sz w:val="24"/>
          <w:szCs w:val="24"/>
        </w:rPr>
        <w:t>vacío de poder y boicot electoral. Dicha estrategia significó, el secuestro, atentados y asesinatos de aspirantes a cargos de elección popular. Tradicionalmente los años electorales tendían a ser bastante violentos, pero 201</w:t>
      </w:r>
      <w:r w:rsidR="005C796C" w:rsidRPr="009C0689">
        <w:rPr>
          <w:sz w:val="24"/>
          <w:szCs w:val="24"/>
        </w:rPr>
        <w:t>4</w:t>
      </w:r>
      <w:r w:rsidR="0048028D" w:rsidRPr="009C0689">
        <w:rPr>
          <w:sz w:val="24"/>
          <w:szCs w:val="24"/>
        </w:rPr>
        <w:t xml:space="preserve"> fue la excepción, las treguas llevaron que estas elecciones fueran las más pacíficas en los últimos 15 años. </w:t>
      </w:r>
    </w:p>
    <w:p w14:paraId="2B3C0FC2" w14:textId="29AE93DE" w:rsidR="005C796C" w:rsidRPr="009C0689" w:rsidRDefault="0048028D" w:rsidP="009C0689">
      <w:pPr>
        <w:spacing w:before="120" w:after="120" w:line="276" w:lineRule="auto"/>
        <w:jc w:val="both"/>
        <w:rPr>
          <w:sz w:val="24"/>
          <w:szCs w:val="24"/>
        </w:rPr>
      </w:pPr>
      <w:r w:rsidRPr="009C0689">
        <w:rPr>
          <w:sz w:val="24"/>
          <w:szCs w:val="24"/>
        </w:rPr>
        <w:t>Incluso, cada aniversario de la guerrilla de las FARC tiende a ser celebra</w:t>
      </w:r>
      <w:r w:rsidR="00CE1F1F">
        <w:rPr>
          <w:sz w:val="24"/>
          <w:szCs w:val="24"/>
        </w:rPr>
        <w:t>do mediante una campaña militar. E</w:t>
      </w:r>
      <w:r w:rsidRPr="009C0689">
        <w:rPr>
          <w:sz w:val="24"/>
          <w:szCs w:val="24"/>
        </w:rPr>
        <w:t>n el 2014 se cumplían 50 años de existencia, y según información recogida en terreno las FARC tenían preparada una escal</w:t>
      </w:r>
      <w:r w:rsidR="00421744">
        <w:rPr>
          <w:sz w:val="24"/>
          <w:szCs w:val="24"/>
        </w:rPr>
        <w:t>a</w:t>
      </w:r>
      <w:r w:rsidRPr="009C0689">
        <w:rPr>
          <w:sz w:val="24"/>
          <w:szCs w:val="24"/>
        </w:rPr>
        <w:t>da que duraría ce</w:t>
      </w:r>
      <w:r w:rsidR="00B11823" w:rsidRPr="009C0689">
        <w:rPr>
          <w:sz w:val="24"/>
          <w:szCs w:val="24"/>
        </w:rPr>
        <w:t>rca de 17 días durante el mes de mayo. Por orden de la comandancia esta escalada fue suspendida y todas las estructuras guerrilleras la cumplieron. Las FARC por decisión y</w:t>
      </w:r>
      <w:r w:rsidR="005C796C" w:rsidRPr="009C0689">
        <w:rPr>
          <w:sz w:val="24"/>
          <w:szCs w:val="24"/>
        </w:rPr>
        <w:t xml:space="preserve"> voluntad propia, no solo declararon</w:t>
      </w:r>
      <w:r w:rsidR="00B11823" w:rsidRPr="009C0689">
        <w:rPr>
          <w:sz w:val="24"/>
          <w:szCs w:val="24"/>
        </w:rPr>
        <w:t xml:space="preserve"> treguas unilaterales</w:t>
      </w:r>
      <w:r w:rsidR="005C796C" w:rsidRPr="009C0689">
        <w:rPr>
          <w:sz w:val="24"/>
          <w:szCs w:val="24"/>
        </w:rPr>
        <w:t>,</w:t>
      </w:r>
      <w:r w:rsidR="00B11823" w:rsidRPr="009C0689">
        <w:rPr>
          <w:sz w:val="24"/>
          <w:szCs w:val="24"/>
        </w:rPr>
        <w:t xml:space="preserve"> sino que detuvieron su mayor ofensiva militar en años. Esto muestra que la comandancia de las FARC tiene mando y control sobre todas sus estructuras. </w:t>
      </w:r>
    </w:p>
    <w:p w14:paraId="009CE272" w14:textId="07759BCB" w:rsidR="00FA2011" w:rsidRDefault="005C796C" w:rsidP="009C0689">
      <w:pPr>
        <w:spacing w:before="120" w:after="120" w:line="276" w:lineRule="auto"/>
        <w:jc w:val="both"/>
        <w:rPr>
          <w:sz w:val="24"/>
          <w:szCs w:val="24"/>
        </w:rPr>
      </w:pPr>
      <w:r w:rsidRPr="009C0689">
        <w:rPr>
          <w:sz w:val="24"/>
          <w:szCs w:val="24"/>
        </w:rPr>
        <w:t xml:space="preserve">El siguiente mapa muestra la presencia municipal de las FARC para el año 2014, un total de 242 municipios.  </w:t>
      </w:r>
      <w:r w:rsidR="00B11823" w:rsidRPr="009C0689">
        <w:rPr>
          <w:sz w:val="24"/>
          <w:szCs w:val="24"/>
        </w:rPr>
        <w:t xml:space="preserve"> </w:t>
      </w:r>
    </w:p>
    <w:p w14:paraId="03556C09" w14:textId="77777777" w:rsidR="006B1B96" w:rsidRDefault="006B1B96" w:rsidP="009C0689">
      <w:pPr>
        <w:spacing w:before="120" w:after="120" w:line="276" w:lineRule="auto"/>
        <w:jc w:val="both"/>
        <w:rPr>
          <w:sz w:val="24"/>
          <w:szCs w:val="24"/>
        </w:rPr>
      </w:pPr>
    </w:p>
    <w:p w14:paraId="7F1E36E9" w14:textId="7C5B52C9" w:rsidR="006B1B96" w:rsidRPr="009C0689" w:rsidRDefault="006B1B96" w:rsidP="009C0689">
      <w:pPr>
        <w:spacing w:before="120" w:after="120" w:line="276" w:lineRule="auto"/>
        <w:jc w:val="both"/>
        <w:rPr>
          <w:sz w:val="24"/>
          <w:szCs w:val="24"/>
        </w:rPr>
      </w:pPr>
      <w:r>
        <w:rPr>
          <w:noProof/>
          <w:sz w:val="24"/>
          <w:szCs w:val="24"/>
          <w:lang w:eastAsia="es-CO"/>
        </w:rPr>
        <w:drawing>
          <wp:inline distT="0" distB="0" distL="0" distR="0" wp14:anchorId="5683E77F" wp14:editId="2F151D0D">
            <wp:extent cx="5612130" cy="7935595"/>
            <wp:effectExtent l="0" t="0" r="7620" b="8255"/>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cia-FARC.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12130" cy="7935595"/>
                    </a:xfrm>
                    <a:prstGeom prst="rect">
                      <a:avLst/>
                    </a:prstGeom>
                  </pic:spPr>
                </pic:pic>
              </a:graphicData>
            </a:graphic>
          </wp:inline>
        </w:drawing>
      </w:r>
    </w:p>
    <w:p w14:paraId="7DFAF25A" w14:textId="77777777" w:rsidR="00942C78" w:rsidRPr="009C0689" w:rsidRDefault="00942C78" w:rsidP="009C0689">
      <w:pPr>
        <w:spacing w:before="120" w:after="120" w:line="276" w:lineRule="auto"/>
        <w:jc w:val="both"/>
        <w:rPr>
          <w:sz w:val="24"/>
          <w:szCs w:val="24"/>
        </w:rPr>
      </w:pPr>
    </w:p>
    <w:p w14:paraId="34901E66" w14:textId="2DB4F372" w:rsidR="00B11823" w:rsidRPr="009C0689" w:rsidRDefault="00B11823" w:rsidP="009C0689">
      <w:pPr>
        <w:pStyle w:val="Ttulo1"/>
        <w:spacing w:before="120" w:after="120" w:line="276" w:lineRule="auto"/>
        <w:rPr>
          <w:rFonts w:asciiTheme="minorHAnsi" w:hAnsiTheme="minorHAnsi"/>
          <w:sz w:val="24"/>
          <w:szCs w:val="24"/>
        </w:rPr>
      </w:pPr>
      <w:r w:rsidRPr="009C0689">
        <w:rPr>
          <w:rFonts w:asciiTheme="minorHAnsi" w:hAnsiTheme="minorHAnsi"/>
          <w:sz w:val="24"/>
          <w:szCs w:val="24"/>
        </w:rPr>
        <w:t xml:space="preserve">3. Treguas y Cese unilateral de fuego. </w:t>
      </w:r>
    </w:p>
    <w:p w14:paraId="73865332" w14:textId="06E8F76C" w:rsidR="007329B8" w:rsidRPr="009C0689" w:rsidRDefault="00E91A50" w:rsidP="009C0689">
      <w:pPr>
        <w:spacing w:before="120" w:after="120" w:line="276" w:lineRule="auto"/>
        <w:jc w:val="both"/>
        <w:rPr>
          <w:rFonts w:eastAsia="Calibri" w:cs="Arial"/>
          <w:color w:val="000000"/>
          <w:sz w:val="24"/>
          <w:szCs w:val="24"/>
        </w:rPr>
      </w:pPr>
      <w:r w:rsidRPr="009C0689">
        <w:rPr>
          <w:sz w:val="24"/>
          <w:szCs w:val="24"/>
        </w:rPr>
        <w:t>Desde el comienzo de los diálogos de paz</w:t>
      </w:r>
      <w:r w:rsidR="008E0378" w:rsidRPr="009C0689">
        <w:rPr>
          <w:sz w:val="24"/>
          <w:szCs w:val="24"/>
        </w:rPr>
        <w:t>,</w:t>
      </w:r>
      <w:r w:rsidRPr="009C0689">
        <w:rPr>
          <w:sz w:val="24"/>
          <w:szCs w:val="24"/>
        </w:rPr>
        <w:t xml:space="preserve"> las FARC han de</w:t>
      </w:r>
      <w:r w:rsidR="008E0378" w:rsidRPr="009C0689">
        <w:rPr>
          <w:sz w:val="24"/>
          <w:szCs w:val="24"/>
        </w:rPr>
        <w:t>cretado un total de cinco</w:t>
      </w:r>
      <w:r w:rsidRPr="009C0689">
        <w:rPr>
          <w:sz w:val="24"/>
          <w:szCs w:val="24"/>
        </w:rPr>
        <w:t xml:space="preserve"> treguas unilaterales, de ellas cuatro se desarrollaron en 2014. </w:t>
      </w:r>
      <w:r w:rsidR="0059575A" w:rsidRPr="009C0689">
        <w:rPr>
          <w:sz w:val="24"/>
          <w:szCs w:val="24"/>
        </w:rPr>
        <w:t xml:space="preserve">La primera tregua fue declarada </w:t>
      </w:r>
      <w:r w:rsidR="007329B8" w:rsidRPr="009C0689">
        <w:rPr>
          <w:sz w:val="24"/>
          <w:szCs w:val="24"/>
        </w:rPr>
        <w:t xml:space="preserve">entre el 20 de noviembre de 2012 y el 20 de enero de 2013 el cese fue cumplido en cerca de un 90%.  Durante la segunda tregua, entre el 15 de diciembre de 2013 y 15 de enero de 2014 el cese se cumplió en cerca de un 95%. En la tercera tregua, declarada entre el 18 y 28 de mayo de 2014, el cese se cumplió en un 100%, solo una acción armada no quedó del todo esclarecida, ocurrida en la Unión Peneya departamento del Caquetá. La cuarta tregua se desarrolló entre el </w:t>
      </w:r>
      <w:r w:rsidR="007329B8" w:rsidRPr="009C0689">
        <w:rPr>
          <w:rFonts w:eastAsia="Calibri" w:cs="Arial"/>
          <w:color w:val="000000"/>
          <w:sz w:val="24"/>
          <w:szCs w:val="24"/>
        </w:rPr>
        <w:t xml:space="preserve">9 de junio y el 30 de junio de 2014. Para ese momento la tregua se cumplió en un 97%, solo se produjo una acción violatoria. </w:t>
      </w:r>
      <w:r w:rsidR="008E0378" w:rsidRPr="009C0689">
        <w:rPr>
          <w:rFonts w:eastAsia="Calibri" w:cs="Arial"/>
          <w:color w:val="000000"/>
          <w:sz w:val="24"/>
          <w:szCs w:val="24"/>
        </w:rPr>
        <w:t>El siguiente gráfico muestra los niveles de cumplimiento de</w:t>
      </w:r>
      <w:r w:rsidR="00B064AF" w:rsidRPr="009C0689">
        <w:rPr>
          <w:rFonts w:eastAsia="Calibri" w:cs="Arial"/>
          <w:color w:val="000000"/>
          <w:sz w:val="24"/>
          <w:szCs w:val="24"/>
        </w:rPr>
        <w:t xml:space="preserve"> </w:t>
      </w:r>
      <w:r w:rsidR="008E0378" w:rsidRPr="009C0689">
        <w:rPr>
          <w:rFonts w:eastAsia="Calibri" w:cs="Arial"/>
          <w:color w:val="000000"/>
          <w:sz w:val="24"/>
          <w:szCs w:val="24"/>
        </w:rPr>
        <w:t xml:space="preserve">las diferentes treguas.  </w:t>
      </w:r>
    </w:p>
    <w:p w14:paraId="3783BD4B" w14:textId="52D31E6F" w:rsidR="008E0378" w:rsidRPr="000259D5" w:rsidRDefault="000259D5" w:rsidP="000259D5">
      <w:pPr>
        <w:spacing w:before="120" w:after="120" w:line="276" w:lineRule="auto"/>
        <w:jc w:val="center"/>
        <w:rPr>
          <w:b/>
          <w:sz w:val="24"/>
          <w:szCs w:val="24"/>
        </w:rPr>
      </w:pPr>
      <w:r w:rsidRPr="000259D5">
        <w:rPr>
          <w:b/>
          <w:sz w:val="24"/>
          <w:szCs w:val="24"/>
        </w:rPr>
        <w:t>Comparativo del cumplimiento de las 5 treguas declaras por las FARC.</w:t>
      </w:r>
    </w:p>
    <w:p w14:paraId="5401C029" w14:textId="27D952F7" w:rsidR="008E0378" w:rsidRPr="009C0689" w:rsidRDefault="008E0378" w:rsidP="009C0689">
      <w:pPr>
        <w:spacing w:before="120" w:after="120" w:line="276" w:lineRule="auto"/>
        <w:jc w:val="center"/>
        <w:rPr>
          <w:sz w:val="24"/>
          <w:szCs w:val="24"/>
        </w:rPr>
      </w:pPr>
      <w:r w:rsidRPr="009C0689">
        <w:rPr>
          <w:noProof/>
          <w:sz w:val="24"/>
          <w:szCs w:val="24"/>
          <w:lang w:eastAsia="es-CO"/>
        </w:rPr>
        <w:drawing>
          <wp:inline distT="0" distB="0" distL="0" distR="0" wp14:anchorId="5750839A" wp14:editId="0BC65CFE">
            <wp:extent cx="4572000" cy="27432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35C8FF" w14:textId="5087438F" w:rsidR="008E0378" w:rsidRPr="000259D5" w:rsidRDefault="000259D5" w:rsidP="009C0689">
      <w:pPr>
        <w:spacing w:before="120" w:after="120" w:line="276" w:lineRule="auto"/>
        <w:jc w:val="both"/>
        <w:rPr>
          <w:i/>
          <w:sz w:val="24"/>
          <w:szCs w:val="24"/>
        </w:rPr>
      </w:pPr>
      <w:r>
        <w:rPr>
          <w:sz w:val="24"/>
          <w:szCs w:val="24"/>
        </w:rPr>
        <w:t xml:space="preserve">              </w:t>
      </w:r>
      <w:r w:rsidRPr="000259D5">
        <w:rPr>
          <w:i/>
          <w:sz w:val="24"/>
          <w:szCs w:val="24"/>
        </w:rPr>
        <w:t xml:space="preserve">Fundación Paz y reconciliación, Banco de datos. </w:t>
      </w:r>
    </w:p>
    <w:p w14:paraId="7D56273B" w14:textId="77777777" w:rsidR="00421744" w:rsidRDefault="00B064AF" w:rsidP="00421744">
      <w:pPr>
        <w:spacing w:before="120" w:after="120" w:line="276" w:lineRule="auto"/>
        <w:jc w:val="both"/>
        <w:rPr>
          <w:rFonts w:cs="Arial"/>
          <w:color w:val="000000" w:themeColor="text1"/>
          <w:sz w:val="24"/>
          <w:szCs w:val="24"/>
        </w:rPr>
      </w:pPr>
      <w:r w:rsidRPr="009C0689">
        <w:rPr>
          <w:sz w:val="24"/>
          <w:szCs w:val="24"/>
        </w:rPr>
        <w:t xml:space="preserve">La última tregua (5), es indefinida, por lo que se </w:t>
      </w:r>
      <w:r w:rsidR="00C97247" w:rsidRPr="009C0689">
        <w:rPr>
          <w:sz w:val="24"/>
          <w:szCs w:val="24"/>
        </w:rPr>
        <w:t>a</w:t>
      </w:r>
      <w:r w:rsidRPr="009C0689">
        <w:rPr>
          <w:sz w:val="24"/>
          <w:szCs w:val="24"/>
        </w:rPr>
        <w:t>clara que hasta el 10 de febrero no se había presentado ninguna acción violatoria de la tregua. El anterior gráfico permite ver como las FARC han ido ajustando el control sobre sus estructuras. Por ejemplo para el caso de la segunda tregua</w:t>
      </w:r>
      <w:r w:rsidR="00CA21F7" w:rsidRPr="009C0689">
        <w:rPr>
          <w:sz w:val="24"/>
          <w:szCs w:val="24"/>
        </w:rPr>
        <w:t>, desarrolla</w:t>
      </w:r>
      <w:r w:rsidR="00C97247" w:rsidRPr="009C0689">
        <w:rPr>
          <w:sz w:val="24"/>
          <w:szCs w:val="24"/>
        </w:rPr>
        <w:t>d</w:t>
      </w:r>
      <w:r w:rsidR="00CA21F7" w:rsidRPr="009C0689">
        <w:rPr>
          <w:sz w:val="24"/>
          <w:szCs w:val="24"/>
        </w:rPr>
        <w:t>a</w:t>
      </w:r>
      <w:r w:rsidRPr="009C0689">
        <w:rPr>
          <w:sz w:val="24"/>
          <w:szCs w:val="24"/>
        </w:rPr>
        <w:t xml:space="preserve"> </w:t>
      </w:r>
      <w:r w:rsidRPr="009C0689">
        <w:rPr>
          <w:rFonts w:cs="Arial"/>
          <w:color w:val="000000" w:themeColor="text1"/>
          <w:sz w:val="24"/>
          <w:szCs w:val="24"/>
        </w:rPr>
        <w:t>entre el 15 de diciembre de 2013 y 15 de enero de 2014 se presentaron un total de 20 acciones armadas que involucraron estructuras de la Fuerza Pública y de las FARC. De ellas, 4 fueron claramente violatorias de la tregua, 12 fueron acciones ofensivas de la Fuerza Pública o a la inversa defensivas de las FARC, en otras 3 no hay claridad si fueron ofen</w:t>
      </w:r>
      <w:r w:rsidR="00C97247" w:rsidRPr="009C0689">
        <w:rPr>
          <w:rFonts w:cs="Arial"/>
          <w:color w:val="000000" w:themeColor="text1"/>
          <w:sz w:val="24"/>
          <w:szCs w:val="24"/>
        </w:rPr>
        <w:t>sivas de las FARC o defensivas,</w:t>
      </w:r>
      <w:r w:rsidRPr="009C0689">
        <w:rPr>
          <w:rFonts w:cs="Arial"/>
          <w:color w:val="000000" w:themeColor="text1"/>
          <w:sz w:val="24"/>
          <w:szCs w:val="24"/>
        </w:rPr>
        <w:t xml:space="preserve"> por último, una de ellas fue producto de un campo minado de las FARC que fue activado por miembros del ejército y que había sido instalado por las FARC previo al anunció de la tregua. Así las cosas la tregua se cumplió en un 95%.</w:t>
      </w:r>
    </w:p>
    <w:p w14:paraId="0956A8B8" w14:textId="24606CC6" w:rsidR="00CA21F7" w:rsidRPr="00421744" w:rsidRDefault="00CA21F7" w:rsidP="00421744">
      <w:pPr>
        <w:spacing w:before="120" w:after="120" w:line="276" w:lineRule="auto"/>
        <w:jc w:val="both"/>
      </w:pPr>
      <w:r w:rsidRPr="00421744">
        <w:rPr>
          <w:rFonts w:cs="Arial"/>
        </w:rPr>
        <w:t>Para el caso de la quinta tregua, que es la indefinida, y la cual com</w:t>
      </w:r>
      <w:r w:rsidR="00421744">
        <w:rPr>
          <w:rFonts w:cs="Arial"/>
        </w:rPr>
        <w:t>enzó el 20 de diciembre de 2014, l</w:t>
      </w:r>
      <w:r w:rsidR="00421744">
        <w:t>a Fundación Paz y R</w:t>
      </w:r>
      <w:r w:rsidRPr="00421744">
        <w:t>econciliac</w:t>
      </w:r>
      <w:r w:rsidR="00421744">
        <w:t>ión no registró ninguna acción</w:t>
      </w:r>
      <w:r w:rsidRPr="00421744">
        <w:t xml:space="preserve"> violatoria de la </w:t>
      </w:r>
      <w:r w:rsidR="00421744">
        <w:t>tregua por parte</w:t>
      </w:r>
      <w:r w:rsidRPr="00421744">
        <w:t xml:space="preserve"> de las FARC.</w:t>
      </w:r>
      <w:r w:rsidR="00421744">
        <w:t xml:space="preserve">  Es decir, </w:t>
      </w:r>
      <w:r w:rsidRPr="00421744">
        <w:t>la coma</w:t>
      </w:r>
      <w:r w:rsidR="00421744">
        <w:t xml:space="preserve">ndancia guerrillera tiene mando </w:t>
      </w:r>
      <w:r w:rsidRPr="00421744">
        <w:t>y cont</w:t>
      </w:r>
      <w:r w:rsidR="00421744">
        <w:t xml:space="preserve">rol sobre sus estructuras </w:t>
      </w:r>
      <w:r w:rsidRPr="00421744">
        <w:t>militar</w:t>
      </w:r>
      <w:r w:rsidR="00421744">
        <w:t xml:space="preserve">es. La tregua se ha cumplido en </w:t>
      </w:r>
      <w:r w:rsidRPr="00421744">
        <w:t>un 100%. Sin emba</w:t>
      </w:r>
      <w:r w:rsidR="00421744">
        <w:t xml:space="preserve">rgo, se registraron 17 acciones </w:t>
      </w:r>
      <w:r w:rsidRPr="00421744">
        <w:t>armadas que involucraron e</w:t>
      </w:r>
      <w:r w:rsidR="00421744">
        <w:t xml:space="preserve">structuras de la Fuerza Pública </w:t>
      </w:r>
      <w:r w:rsidRPr="00421744">
        <w:t>y estru</w:t>
      </w:r>
      <w:r w:rsidR="00421744">
        <w:t xml:space="preserve">cturas guerrilleras. La mayoría </w:t>
      </w:r>
      <w:r w:rsidRPr="00421744">
        <w:t>de es</w:t>
      </w:r>
      <w:r w:rsidR="00421744">
        <w:t xml:space="preserve">tas fueron bombardeos y campos </w:t>
      </w:r>
      <w:r w:rsidRPr="009C0689">
        <w:t>minados</w:t>
      </w:r>
      <w:r w:rsidR="00421744">
        <w:t>,</w:t>
      </w:r>
      <w:r w:rsidRPr="009C0689">
        <w:t xml:space="preserve"> </w:t>
      </w:r>
      <w:r w:rsidR="00421744">
        <w:t xml:space="preserve">sembrados previo al establecimiento de la tregua. </w:t>
      </w:r>
      <w:r w:rsidRPr="009C0689">
        <w:t xml:space="preserve">Todas estas </w:t>
      </w:r>
      <w:r w:rsidR="00421744">
        <w:t xml:space="preserve">acciones son ofensivas de la fuerza pública y defensivas de las FARC. </w:t>
      </w:r>
      <w:r w:rsidRPr="009C0689">
        <w:t>Esto sig</w:t>
      </w:r>
      <w:r w:rsidR="00421744">
        <w:t xml:space="preserve">nifica que la fuerza pública ha continuado su accionar militar. En todo caso se </w:t>
      </w:r>
      <w:r w:rsidRPr="009C0689">
        <w:t>registra una disminución de acciones</w:t>
      </w:r>
      <w:r w:rsidR="00421744">
        <w:t xml:space="preserve"> armadas por parte de la </w:t>
      </w:r>
      <w:r w:rsidRPr="009C0689">
        <w:t xml:space="preserve">Fuerza Pública. </w:t>
      </w:r>
    </w:p>
    <w:p w14:paraId="39AFD404" w14:textId="3BFF02A5" w:rsidR="00CA21F7" w:rsidRPr="009C0689" w:rsidRDefault="00CA21F7" w:rsidP="009C0689">
      <w:pPr>
        <w:pStyle w:val="NormalWeb"/>
        <w:shd w:val="clear" w:color="auto" w:fill="FFFFFF"/>
        <w:spacing w:before="120" w:beforeAutospacing="0" w:after="120" w:afterAutospacing="0" w:line="276" w:lineRule="auto"/>
        <w:jc w:val="both"/>
        <w:textAlignment w:val="baseline"/>
        <w:rPr>
          <w:rFonts w:asciiTheme="minorHAnsi" w:hAnsiTheme="minorHAnsi" w:cs="Arial"/>
          <w:color w:val="000000" w:themeColor="text1"/>
          <w:lang w:val="es-CO"/>
        </w:rPr>
      </w:pPr>
      <w:r w:rsidRPr="009C0689">
        <w:rPr>
          <w:rFonts w:asciiTheme="minorHAnsi" w:hAnsiTheme="minorHAnsi" w:cs="Arial"/>
          <w:color w:val="000000" w:themeColor="text1"/>
          <w:lang w:val="es-CO"/>
        </w:rPr>
        <w:t xml:space="preserve">Por tanto a través de las diferentes treguas el control de la comandancia de las FARC </w:t>
      </w:r>
      <w:r w:rsidR="00C97247" w:rsidRPr="009C0689">
        <w:rPr>
          <w:rFonts w:asciiTheme="minorHAnsi" w:hAnsiTheme="minorHAnsi" w:cs="Arial"/>
          <w:color w:val="000000" w:themeColor="text1"/>
          <w:lang w:val="es-CO"/>
        </w:rPr>
        <w:t xml:space="preserve">hacia sus estructuras </w:t>
      </w:r>
      <w:r w:rsidRPr="009C0689">
        <w:rPr>
          <w:rFonts w:asciiTheme="minorHAnsi" w:hAnsiTheme="minorHAnsi" w:cs="Arial"/>
          <w:color w:val="000000" w:themeColor="text1"/>
          <w:lang w:val="es-CO"/>
        </w:rPr>
        <w:t>ha mejorado, y a la vez esta guerrilla ha aprendido a vivir en medio de estas treguas. No se debe olvidar que la última tregua declarada antes del comienzo de los diálogos</w:t>
      </w:r>
      <w:r w:rsidR="00BE6CD8">
        <w:rPr>
          <w:rFonts w:asciiTheme="minorHAnsi" w:hAnsiTheme="minorHAnsi" w:cs="Arial"/>
          <w:color w:val="000000" w:themeColor="text1"/>
          <w:lang w:val="es-CO"/>
        </w:rPr>
        <w:t xml:space="preserve"> de la Habana se había producido en</w:t>
      </w:r>
      <w:r w:rsidRPr="009C0689">
        <w:rPr>
          <w:rFonts w:asciiTheme="minorHAnsi" w:hAnsiTheme="minorHAnsi" w:cs="Arial"/>
          <w:color w:val="000000" w:themeColor="text1"/>
          <w:lang w:val="es-CO"/>
        </w:rPr>
        <w:t xml:space="preserve"> la década de los ochentas del siglo pasado en el </w:t>
      </w:r>
      <w:r w:rsidR="00BE6CD8">
        <w:rPr>
          <w:rFonts w:asciiTheme="minorHAnsi" w:hAnsiTheme="minorHAnsi" w:cs="Arial"/>
          <w:color w:val="000000" w:themeColor="text1"/>
          <w:lang w:val="es-CO"/>
        </w:rPr>
        <w:t xml:space="preserve">marco del acuerdo entre el presidente Belisario Betancur y las FARC. </w:t>
      </w:r>
      <w:r w:rsidRPr="009C0689">
        <w:rPr>
          <w:rFonts w:asciiTheme="minorHAnsi" w:hAnsiTheme="minorHAnsi" w:cs="Arial"/>
          <w:color w:val="000000" w:themeColor="text1"/>
          <w:lang w:val="es-CO"/>
        </w:rPr>
        <w:t xml:space="preserve"> </w:t>
      </w:r>
    </w:p>
    <w:p w14:paraId="5C813C19" w14:textId="7137E5ED" w:rsidR="008E0378" w:rsidRPr="009C0689" w:rsidRDefault="00245DB2" w:rsidP="009C0689">
      <w:pPr>
        <w:spacing w:before="120" w:after="120" w:line="276" w:lineRule="auto"/>
        <w:jc w:val="both"/>
        <w:rPr>
          <w:sz w:val="24"/>
          <w:szCs w:val="24"/>
        </w:rPr>
      </w:pPr>
      <w:r>
        <w:rPr>
          <w:sz w:val="24"/>
          <w:szCs w:val="24"/>
        </w:rPr>
        <w:t>Las treguas han mostrado</w:t>
      </w:r>
      <w:r w:rsidR="008E0378" w:rsidRPr="009C0689">
        <w:rPr>
          <w:sz w:val="24"/>
          <w:szCs w:val="24"/>
        </w:rPr>
        <w:t xml:space="preserve"> la capacidad de mando y control del grupo guerrillero sobre sus estructuras en el país. Para una serie de analistas, la guerrilla, no tiene el control de sus frentes, columnas y compañías, citan</w:t>
      </w:r>
      <w:r>
        <w:rPr>
          <w:sz w:val="24"/>
          <w:szCs w:val="24"/>
        </w:rPr>
        <w:t xml:space="preserve"> ejemplo de la Columna Móvil Teó</w:t>
      </w:r>
      <w:r w:rsidR="008E0378" w:rsidRPr="009C0689">
        <w:rPr>
          <w:sz w:val="24"/>
          <w:szCs w:val="24"/>
        </w:rPr>
        <w:t xml:space="preserve">filo Forero, o los frentes del Sur del Meta 43 y 44. En todo caso estos argumentos se citan sobre suposiciones o en el mejor de los casos supuestas versiones de desmovilizados. </w:t>
      </w:r>
    </w:p>
    <w:p w14:paraId="6BA74E6A" w14:textId="559FA455" w:rsidR="001D0F01" w:rsidRPr="009C0689" w:rsidRDefault="008E0378" w:rsidP="009C0689">
      <w:pPr>
        <w:spacing w:before="120" w:after="120" w:line="276" w:lineRule="auto"/>
        <w:jc w:val="both"/>
        <w:rPr>
          <w:sz w:val="24"/>
          <w:szCs w:val="24"/>
        </w:rPr>
      </w:pPr>
      <w:r w:rsidRPr="009C0689">
        <w:rPr>
          <w:sz w:val="24"/>
          <w:szCs w:val="24"/>
        </w:rPr>
        <w:t xml:space="preserve">En los últimos dos años se han presentado </w:t>
      </w:r>
      <w:r w:rsidR="00BE49F7" w:rsidRPr="009C0689">
        <w:rPr>
          <w:sz w:val="24"/>
          <w:szCs w:val="24"/>
        </w:rPr>
        <w:t>dos</w:t>
      </w:r>
      <w:r w:rsidRPr="009C0689">
        <w:rPr>
          <w:sz w:val="24"/>
          <w:szCs w:val="24"/>
        </w:rPr>
        <w:t xml:space="preserve"> hechos, que sobre el terreno nos permiten medir la capacidad de mando y control del grupo guerrillero. Por un lado, el anuncio del fin del secuestro extorsivo, por otro lado, la</w:t>
      </w:r>
      <w:r w:rsidR="00BE49F7" w:rsidRPr="009C0689">
        <w:rPr>
          <w:sz w:val="24"/>
          <w:szCs w:val="24"/>
        </w:rPr>
        <w:t>s</w:t>
      </w:r>
      <w:r w:rsidRPr="009C0689">
        <w:rPr>
          <w:sz w:val="24"/>
          <w:szCs w:val="24"/>
        </w:rPr>
        <w:t xml:space="preserve"> tregua</w:t>
      </w:r>
      <w:r w:rsidR="00BE49F7" w:rsidRPr="009C0689">
        <w:rPr>
          <w:sz w:val="24"/>
          <w:szCs w:val="24"/>
        </w:rPr>
        <w:t>s</w:t>
      </w:r>
      <w:r w:rsidRPr="009C0689">
        <w:rPr>
          <w:sz w:val="24"/>
          <w:szCs w:val="24"/>
        </w:rPr>
        <w:t xml:space="preserve"> unilateral que las FARC declararon.</w:t>
      </w:r>
      <w:r w:rsidR="00BE49F7" w:rsidRPr="009C0689">
        <w:rPr>
          <w:sz w:val="24"/>
          <w:szCs w:val="24"/>
        </w:rPr>
        <w:t xml:space="preserve"> El principal objetivo de la tregua era que las FARC querían mostrar mando y control de sus estructuras. Igualmente el secuestro se ha reducido sustancialmente, lo cual muestra que también han cumplido dicha promesa las FARC. </w:t>
      </w:r>
      <w:r w:rsidR="00227E57" w:rsidRPr="009C0689">
        <w:rPr>
          <w:sz w:val="24"/>
          <w:szCs w:val="24"/>
        </w:rPr>
        <w:t>El tema con los secuestra</w:t>
      </w:r>
      <w:r w:rsidR="00C97247" w:rsidRPr="009C0689">
        <w:rPr>
          <w:sz w:val="24"/>
          <w:szCs w:val="24"/>
        </w:rPr>
        <w:t xml:space="preserve">dos de las FARC, no se refiere </w:t>
      </w:r>
      <w:r w:rsidR="00227E57" w:rsidRPr="009C0689">
        <w:rPr>
          <w:sz w:val="24"/>
          <w:szCs w:val="24"/>
        </w:rPr>
        <w:t xml:space="preserve">a si esta guerrilla secuestra o no, ya que, este tipo de acciones se ha reducido sustancialmente. </w:t>
      </w:r>
      <w:r w:rsidR="001D0F01" w:rsidRPr="009C0689">
        <w:rPr>
          <w:sz w:val="24"/>
          <w:szCs w:val="24"/>
        </w:rPr>
        <w:t xml:space="preserve">El debate se encuentra entorno a los secuestrados de hace varios años que no aparecen. </w:t>
      </w:r>
      <w:r w:rsidR="00C97247" w:rsidRPr="009C0689">
        <w:rPr>
          <w:sz w:val="24"/>
          <w:szCs w:val="24"/>
        </w:rPr>
        <w:t xml:space="preserve">Las </w:t>
      </w:r>
      <w:r w:rsidR="001D0F01" w:rsidRPr="009C0689">
        <w:rPr>
          <w:sz w:val="24"/>
          <w:szCs w:val="24"/>
        </w:rPr>
        <w:t xml:space="preserve">versiones sobre su supuesta división, o insubordinación no es cierta hasta el momento, es decir, no es cierta la versión sobre una división de las FARC. </w:t>
      </w:r>
    </w:p>
    <w:p w14:paraId="0C7832DF" w14:textId="1C082D8C" w:rsidR="001D0F01" w:rsidRPr="009C0689" w:rsidRDefault="00C0282A" w:rsidP="009C0689">
      <w:pPr>
        <w:spacing w:before="120" w:after="120" w:line="276" w:lineRule="auto"/>
        <w:jc w:val="both"/>
        <w:rPr>
          <w:rFonts w:eastAsia="Calibri" w:cs="Arial"/>
          <w:sz w:val="24"/>
          <w:szCs w:val="24"/>
          <w:shd w:val="clear" w:color="auto" w:fill="FFFFFF"/>
        </w:rPr>
      </w:pPr>
      <w:r w:rsidRPr="009C0689">
        <w:rPr>
          <w:rFonts w:eastAsia="Calibri" w:cs="Arial"/>
          <w:sz w:val="24"/>
          <w:szCs w:val="24"/>
          <w:shd w:val="clear" w:color="auto" w:fill="FFFFFF"/>
        </w:rPr>
        <w:t>El segundo objetivo de estas treguas es mostrar gestos de voluntad de paz y sobre todo enviar mensajes a la opinión pública colombiana sobre el compromiso de este grupo guerrillero con el proceso de paz. Este objetivo es destacable, ya que</w:t>
      </w:r>
      <w:r w:rsidR="00C97247" w:rsidRPr="009C0689">
        <w:rPr>
          <w:rFonts w:eastAsia="Calibri" w:cs="Arial"/>
          <w:sz w:val="24"/>
          <w:szCs w:val="24"/>
          <w:shd w:val="clear" w:color="auto" w:fill="FFFFFF"/>
        </w:rPr>
        <w:t xml:space="preserve"> después de algo más de 10 años</w:t>
      </w:r>
      <w:r w:rsidRPr="009C0689">
        <w:rPr>
          <w:rFonts w:eastAsia="Calibri" w:cs="Arial"/>
          <w:sz w:val="24"/>
          <w:szCs w:val="24"/>
          <w:shd w:val="clear" w:color="auto" w:fill="FFFFFF"/>
        </w:rPr>
        <w:t xml:space="preserve"> las FARC comienzan a pensar en la opinión pública. Durante las </w:t>
      </w:r>
      <w:r w:rsidR="00C97247" w:rsidRPr="009C0689">
        <w:rPr>
          <w:rFonts w:eastAsia="Calibri" w:cs="Arial"/>
          <w:sz w:val="24"/>
          <w:szCs w:val="24"/>
          <w:shd w:val="clear" w:color="auto" w:fill="FFFFFF"/>
        </w:rPr>
        <w:t>negociaciones de paz del Cagúan</w:t>
      </w:r>
      <w:r w:rsidRPr="009C0689">
        <w:rPr>
          <w:rFonts w:eastAsia="Calibri" w:cs="Arial"/>
          <w:sz w:val="24"/>
          <w:szCs w:val="24"/>
          <w:shd w:val="clear" w:color="auto" w:fill="FFFFFF"/>
        </w:rPr>
        <w:t xml:space="preserve"> a las FARC se les acusó de que su objetivo principal era el fortalecimiento militar y que la paz negociada era un objetivo secundario. Esta vez las FARC querían mostrar su compromiso con la paz negociada. </w:t>
      </w:r>
    </w:p>
    <w:p w14:paraId="397F55E2" w14:textId="157734B0" w:rsidR="008E0378" w:rsidRPr="009C0689" w:rsidRDefault="00245DB2" w:rsidP="009C0689">
      <w:pPr>
        <w:spacing w:before="120" w:after="120" w:line="276" w:lineRule="auto"/>
        <w:jc w:val="both"/>
        <w:rPr>
          <w:sz w:val="24"/>
          <w:szCs w:val="24"/>
        </w:rPr>
      </w:pPr>
      <w:r>
        <w:rPr>
          <w:sz w:val="24"/>
          <w:szCs w:val="24"/>
        </w:rPr>
        <w:t>Una última realidad</w:t>
      </w:r>
      <w:r w:rsidR="00FB37BB" w:rsidRPr="009C0689">
        <w:rPr>
          <w:sz w:val="24"/>
          <w:szCs w:val="24"/>
        </w:rPr>
        <w:t>,</w:t>
      </w:r>
      <w:r w:rsidR="00C0282A" w:rsidRPr="009C0689">
        <w:rPr>
          <w:sz w:val="24"/>
          <w:szCs w:val="24"/>
        </w:rPr>
        <w:t xml:space="preserve"> más coyuntural</w:t>
      </w:r>
      <w:r w:rsidR="00FB37BB" w:rsidRPr="009C0689">
        <w:rPr>
          <w:sz w:val="24"/>
          <w:szCs w:val="24"/>
        </w:rPr>
        <w:t>,</w:t>
      </w:r>
      <w:r w:rsidR="00C97247" w:rsidRPr="009C0689">
        <w:rPr>
          <w:sz w:val="24"/>
          <w:szCs w:val="24"/>
        </w:rPr>
        <w:t xml:space="preserve"> es</w:t>
      </w:r>
      <w:r w:rsidR="00FB37BB" w:rsidRPr="009C0689">
        <w:rPr>
          <w:sz w:val="24"/>
          <w:szCs w:val="24"/>
        </w:rPr>
        <w:t xml:space="preserve"> que las FARC</w:t>
      </w:r>
      <w:r w:rsidR="008E0378" w:rsidRPr="009C0689">
        <w:rPr>
          <w:sz w:val="24"/>
          <w:szCs w:val="24"/>
        </w:rPr>
        <w:t xml:space="preserve"> </w:t>
      </w:r>
      <w:r w:rsidR="00FB37BB" w:rsidRPr="009C0689">
        <w:rPr>
          <w:sz w:val="24"/>
          <w:szCs w:val="24"/>
        </w:rPr>
        <w:t>intentaban</w:t>
      </w:r>
      <w:r w:rsidR="008E0378" w:rsidRPr="009C0689">
        <w:rPr>
          <w:sz w:val="24"/>
          <w:szCs w:val="24"/>
        </w:rPr>
        <w:t xml:space="preserve"> apaciguar las críticas por</w:t>
      </w:r>
      <w:r w:rsidR="00FB37BB" w:rsidRPr="009C0689">
        <w:rPr>
          <w:sz w:val="24"/>
          <w:szCs w:val="24"/>
        </w:rPr>
        <w:t xml:space="preserve"> diferentes ataques cometidos. Por ejemplo</w:t>
      </w:r>
      <w:r w:rsidR="00C97247" w:rsidRPr="009C0689">
        <w:rPr>
          <w:sz w:val="24"/>
          <w:szCs w:val="24"/>
        </w:rPr>
        <w:t>,</w:t>
      </w:r>
      <w:r w:rsidR="008E0378" w:rsidRPr="009C0689">
        <w:rPr>
          <w:sz w:val="24"/>
          <w:szCs w:val="24"/>
        </w:rPr>
        <w:t xml:space="preserve"> el ataque que realizó esta guerrilla en Inzá Cauca </w:t>
      </w:r>
      <w:r w:rsidR="00FB37BB" w:rsidRPr="009C0689">
        <w:rPr>
          <w:sz w:val="24"/>
          <w:szCs w:val="24"/>
        </w:rPr>
        <w:t>donde volaron la estación de policía. Esto significa al menos dos situaciones. Por un lado</w:t>
      </w:r>
      <w:r>
        <w:rPr>
          <w:sz w:val="24"/>
          <w:szCs w:val="24"/>
        </w:rPr>
        <w:t>, calcula sus acciones armadas no só</w:t>
      </w:r>
      <w:r w:rsidR="001028F2" w:rsidRPr="009C0689">
        <w:rPr>
          <w:sz w:val="24"/>
          <w:szCs w:val="24"/>
        </w:rPr>
        <w:t xml:space="preserve">lo desde el punto de vista militar. Por otro lado intentan ganarse de nuevo la confianza de la población en las zonas donde operan las diferentes estructuras guerrilleras, y para ello suavizan la confrontación armada y se dedican más al trabajo político </w:t>
      </w:r>
      <w:r w:rsidR="00FB2E36" w:rsidRPr="009C0689">
        <w:rPr>
          <w:sz w:val="24"/>
          <w:szCs w:val="24"/>
        </w:rPr>
        <w:t xml:space="preserve"> </w:t>
      </w:r>
    </w:p>
    <w:p w14:paraId="2D4E3B8C" w14:textId="0F6DB810" w:rsidR="00B11823" w:rsidRPr="009C0689" w:rsidRDefault="001028F2" w:rsidP="009C0689">
      <w:pPr>
        <w:pStyle w:val="Ttulo1"/>
        <w:spacing w:before="120" w:after="120" w:line="276" w:lineRule="auto"/>
        <w:rPr>
          <w:rStyle w:val="Ttulo2Car"/>
          <w:rFonts w:asciiTheme="minorHAnsi" w:hAnsiTheme="minorHAnsi"/>
          <w:sz w:val="24"/>
          <w:szCs w:val="24"/>
        </w:rPr>
      </w:pPr>
      <w:r w:rsidRPr="009C0689">
        <w:rPr>
          <w:rFonts w:asciiTheme="minorHAnsi" w:hAnsiTheme="minorHAnsi"/>
          <w:sz w:val="24"/>
          <w:szCs w:val="24"/>
        </w:rPr>
        <w:t xml:space="preserve">Las FARC se preparan para el postconflicto. </w:t>
      </w:r>
    </w:p>
    <w:p w14:paraId="37EC8E2E" w14:textId="783B070F" w:rsidR="00C97247" w:rsidRPr="009C0689" w:rsidRDefault="00C97247" w:rsidP="009C0689">
      <w:pPr>
        <w:spacing w:before="120" w:after="120" w:line="276" w:lineRule="auto"/>
        <w:jc w:val="both"/>
        <w:rPr>
          <w:sz w:val="24"/>
          <w:szCs w:val="24"/>
        </w:rPr>
      </w:pPr>
      <w:r w:rsidRPr="009C0689">
        <w:rPr>
          <w:sz w:val="24"/>
          <w:szCs w:val="24"/>
        </w:rPr>
        <w:t xml:space="preserve">La fundación paz y reconciliación en los diferentes trabajos en terreno logró recopilar información </w:t>
      </w:r>
      <w:r w:rsidR="00824AC4" w:rsidRPr="009C0689">
        <w:rPr>
          <w:sz w:val="24"/>
          <w:szCs w:val="24"/>
        </w:rPr>
        <w:t xml:space="preserve">sobre una serie de cambios y trasformaciones en la estrategia política de las FARC. </w:t>
      </w:r>
      <w:r w:rsidRPr="009C0689">
        <w:rPr>
          <w:sz w:val="24"/>
          <w:szCs w:val="24"/>
        </w:rPr>
        <w:t xml:space="preserve"> </w:t>
      </w:r>
      <w:r w:rsidR="00824AC4" w:rsidRPr="009C0689">
        <w:rPr>
          <w:sz w:val="24"/>
          <w:szCs w:val="24"/>
        </w:rPr>
        <w:t xml:space="preserve">Valen la pena mencionar tres de ellos. </w:t>
      </w:r>
    </w:p>
    <w:p w14:paraId="11DD87EB" w14:textId="6A060CC3" w:rsidR="00824AC4" w:rsidRPr="009C0689" w:rsidRDefault="00824AC4" w:rsidP="009C0689">
      <w:pPr>
        <w:spacing w:before="120" w:after="120" w:line="276" w:lineRule="auto"/>
        <w:jc w:val="both"/>
        <w:rPr>
          <w:sz w:val="24"/>
          <w:szCs w:val="24"/>
        </w:rPr>
      </w:pPr>
      <w:r w:rsidRPr="009C0689">
        <w:rPr>
          <w:sz w:val="24"/>
          <w:szCs w:val="24"/>
        </w:rPr>
        <w:t xml:space="preserve">El primero hace referencia al sistema de administración de justicia que ha montado las FARC durante 50 años de presencia en varios territorios. </w:t>
      </w:r>
      <w:r w:rsidR="00245DB2">
        <w:rPr>
          <w:rFonts w:eastAsia="Calibri" w:cs="Times New Roman"/>
          <w:sz w:val="24"/>
          <w:szCs w:val="24"/>
        </w:rPr>
        <w:t xml:space="preserve">Hasta el año </w:t>
      </w:r>
      <w:r w:rsidRPr="009C0689">
        <w:rPr>
          <w:rFonts w:eastAsia="Calibri" w:cs="Times New Roman"/>
          <w:sz w:val="24"/>
          <w:szCs w:val="24"/>
        </w:rPr>
        <w:t>2005 las FARC realizaban directamente lo que se denominaban consejos de autoridad y en otros casos consejos de resolución de conf</w:t>
      </w:r>
      <w:r w:rsidR="00245DB2">
        <w:rPr>
          <w:rFonts w:eastAsia="Calibri" w:cs="Times New Roman"/>
          <w:sz w:val="24"/>
          <w:szCs w:val="24"/>
        </w:rPr>
        <w:t>lictos.  M</w:t>
      </w:r>
      <w:r w:rsidRPr="009C0689">
        <w:rPr>
          <w:rFonts w:eastAsia="Calibri" w:cs="Times New Roman"/>
          <w:sz w:val="24"/>
          <w:szCs w:val="24"/>
        </w:rPr>
        <w:t>ensualmente la guerrilla reu</w:t>
      </w:r>
      <w:r w:rsidR="00245DB2">
        <w:rPr>
          <w:rFonts w:eastAsia="Calibri" w:cs="Times New Roman"/>
          <w:sz w:val="24"/>
          <w:szCs w:val="24"/>
        </w:rPr>
        <w:t>nía las comunidades y comenzaba</w:t>
      </w:r>
      <w:r w:rsidRPr="009C0689">
        <w:rPr>
          <w:rFonts w:eastAsia="Calibri" w:cs="Times New Roman"/>
          <w:sz w:val="24"/>
          <w:szCs w:val="24"/>
        </w:rPr>
        <w:t xml:space="preserve"> a solucionar problemas vecinales que iban desde asuntos de linderos hasta temas sentimentales.</w:t>
      </w:r>
    </w:p>
    <w:p w14:paraId="7AB40042" w14:textId="768DC139" w:rsidR="00824AC4" w:rsidRPr="009C0689" w:rsidRDefault="00824AC4" w:rsidP="009C0689">
      <w:pPr>
        <w:spacing w:before="120" w:after="120" w:line="276" w:lineRule="auto"/>
        <w:jc w:val="both"/>
        <w:rPr>
          <w:rFonts w:eastAsia="Calibri" w:cs="Times New Roman"/>
          <w:sz w:val="24"/>
          <w:szCs w:val="24"/>
        </w:rPr>
      </w:pPr>
      <w:r w:rsidRPr="009C0689">
        <w:rPr>
          <w:rFonts w:eastAsia="Calibri" w:cs="Times New Roman"/>
          <w:sz w:val="24"/>
          <w:szCs w:val="24"/>
        </w:rPr>
        <w:t>En este proceso de admin</w:t>
      </w:r>
      <w:r w:rsidR="00245DB2">
        <w:rPr>
          <w:rFonts w:eastAsia="Calibri" w:cs="Times New Roman"/>
          <w:sz w:val="24"/>
          <w:szCs w:val="24"/>
        </w:rPr>
        <w:t xml:space="preserve">istración de justicia se presentaron </w:t>
      </w:r>
      <w:r w:rsidRPr="009C0689">
        <w:rPr>
          <w:rFonts w:eastAsia="Calibri" w:cs="Times New Roman"/>
          <w:sz w:val="24"/>
          <w:szCs w:val="24"/>
        </w:rPr>
        <w:t xml:space="preserve">dos fenómenos, por un lado, el grupo guerrillero cometió todo tipo de arbitrariedades, principalmente en la época de mayor dominio militar, momento en que comentarios, rumores e informaciones sin contrastar hicieron que en varias zonas se produjera una verdadera </w:t>
      </w:r>
      <w:r w:rsidRPr="009C0689">
        <w:rPr>
          <w:rFonts w:eastAsia="Calibri" w:cs="Times New Roman"/>
          <w:bCs/>
          <w:sz w:val="24"/>
          <w:szCs w:val="24"/>
        </w:rPr>
        <w:t>cacería</w:t>
      </w:r>
      <w:r w:rsidRPr="009C0689">
        <w:rPr>
          <w:rFonts w:eastAsia="Calibri" w:cs="Times New Roman"/>
          <w:sz w:val="24"/>
          <w:szCs w:val="24"/>
        </w:rPr>
        <w:t xml:space="preserve"> de brujas.   Vecinos disgustados unos con otros o con problemas de linderos acudían a la guerrilla y acusaban a su colindante de ser cola</w:t>
      </w:r>
      <w:r w:rsidR="00245DB2">
        <w:rPr>
          <w:rFonts w:eastAsia="Calibri" w:cs="Times New Roman"/>
          <w:sz w:val="24"/>
          <w:szCs w:val="24"/>
        </w:rPr>
        <w:t>borar de la fuera pública. Esto</w:t>
      </w:r>
      <w:r w:rsidRPr="009C0689">
        <w:rPr>
          <w:rFonts w:eastAsia="Calibri" w:cs="Times New Roman"/>
          <w:sz w:val="24"/>
          <w:szCs w:val="24"/>
        </w:rPr>
        <w:t xml:space="preserve"> trajo un gran rechazo por parte de la población a este tipo de situaciones, en todo caso las FARC continuaban administrando justicia en estas zonas.</w:t>
      </w:r>
    </w:p>
    <w:p w14:paraId="667AE587" w14:textId="57264359" w:rsidR="00824AC4" w:rsidRPr="009C0689" w:rsidRDefault="00245DB2" w:rsidP="009C0689">
      <w:pPr>
        <w:spacing w:before="120" w:after="120" w:line="276" w:lineRule="auto"/>
        <w:jc w:val="both"/>
        <w:rPr>
          <w:rFonts w:eastAsia="Calibri" w:cs="Times New Roman"/>
          <w:sz w:val="24"/>
          <w:szCs w:val="24"/>
        </w:rPr>
      </w:pPr>
      <w:r>
        <w:rPr>
          <w:rFonts w:eastAsia="Calibri" w:cs="Times New Roman"/>
          <w:sz w:val="24"/>
          <w:szCs w:val="24"/>
        </w:rPr>
        <w:t>S</w:t>
      </w:r>
      <w:r w:rsidR="00824AC4" w:rsidRPr="009C0689">
        <w:rPr>
          <w:rFonts w:eastAsia="Calibri" w:cs="Times New Roman"/>
          <w:sz w:val="24"/>
          <w:szCs w:val="24"/>
        </w:rPr>
        <w:t>ucedió</w:t>
      </w:r>
      <w:r>
        <w:rPr>
          <w:rFonts w:eastAsia="Calibri" w:cs="Times New Roman"/>
          <w:sz w:val="24"/>
          <w:szCs w:val="24"/>
        </w:rPr>
        <w:t xml:space="preserve"> también</w:t>
      </w:r>
      <w:r w:rsidR="00824AC4" w:rsidRPr="009C0689">
        <w:rPr>
          <w:rFonts w:eastAsia="Calibri" w:cs="Times New Roman"/>
          <w:sz w:val="24"/>
          <w:szCs w:val="24"/>
        </w:rPr>
        <w:t xml:space="preserve"> que esta administración de justicia creó una serie de enclaves político-administrativos, es decir, lo comandantes de las diferentes estructuras de las FARC adquirieron una relevancia e import</w:t>
      </w:r>
      <w:r w:rsidR="00B06389">
        <w:rPr>
          <w:rFonts w:eastAsia="Calibri" w:cs="Times New Roman"/>
          <w:sz w:val="24"/>
          <w:szCs w:val="24"/>
        </w:rPr>
        <w:t>ancia comunitaria determinante, lo cual</w:t>
      </w:r>
      <w:r w:rsidR="00824AC4" w:rsidRPr="009C0689">
        <w:rPr>
          <w:rFonts w:eastAsia="Calibri" w:cs="Times New Roman"/>
          <w:sz w:val="24"/>
          <w:szCs w:val="24"/>
        </w:rPr>
        <w:t xml:space="preserve"> llevó a que</w:t>
      </w:r>
      <w:r>
        <w:rPr>
          <w:rFonts w:eastAsia="Calibri" w:cs="Times New Roman"/>
          <w:sz w:val="24"/>
          <w:szCs w:val="24"/>
        </w:rPr>
        <w:t>,</w:t>
      </w:r>
      <w:r w:rsidR="00824AC4" w:rsidRPr="009C0689">
        <w:rPr>
          <w:rFonts w:eastAsia="Calibri" w:cs="Times New Roman"/>
          <w:sz w:val="24"/>
          <w:szCs w:val="24"/>
        </w:rPr>
        <w:t xml:space="preserve"> si bien</w:t>
      </w:r>
      <w:r>
        <w:rPr>
          <w:rFonts w:eastAsia="Calibri" w:cs="Times New Roman"/>
          <w:sz w:val="24"/>
          <w:szCs w:val="24"/>
        </w:rPr>
        <w:t>,</w:t>
      </w:r>
      <w:r w:rsidR="00824AC4" w:rsidRPr="009C0689">
        <w:rPr>
          <w:rFonts w:eastAsia="Calibri" w:cs="Times New Roman"/>
          <w:sz w:val="24"/>
          <w:szCs w:val="24"/>
        </w:rPr>
        <w:t xml:space="preserve"> en muchos casos</w:t>
      </w:r>
      <w:r>
        <w:rPr>
          <w:rFonts w:eastAsia="Calibri" w:cs="Times New Roman"/>
          <w:sz w:val="24"/>
          <w:szCs w:val="24"/>
        </w:rPr>
        <w:t>,</w:t>
      </w:r>
      <w:r w:rsidR="00824AC4" w:rsidRPr="009C0689">
        <w:rPr>
          <w:rFonts w:eastAsia="Calibri" w:cs="Times New Roman"/>
          <w:sz w:val="24"/>
          <w:szCs w:val="24"/>
        </w:rPr>
        <w:t xml:space="preserve"> había un reconocimiento de la guerrilla, tambié</w:t>
      </w:r>
      <w:r w:rsidR="00B06389">
        <w:rPr>
          <w:rFonts w:eastAsia="Calibri" w:cs="Times New Roman"/>
          <w:sz w:val="24"/>
          <w:szCs w:val="24"/>
        </w:rPr>
        <w:t>n había múltiples abusos autoritarios.</w:t>
      </w:r>
    </w:p>
    <w:p w14:paraId="5FCB6725" w14:textId="106CB61A" w:rsidR="00824AC4" w:rsidRPr="009C0689" w:rsidRDefault="00824AC4" w:rsidP="009C0689">
      <w:pPr>
        <w:spacing w:before="120" w:after="120" w:line="276" w:lineRule="auto"/>
        <w:jc w:val="both"/>
        <w:rPr>
          <w:rFonts w:eastAsia="Calibri" w:cs="Times New Roman"/>
          <w:sz w:val="24"/>
          <w:szCs w:val="24"/>
        </w:rPr>
      </w:pPr>
      <w:r w:rsidRPr="009C0689">
        <w:rPr>
          <w:rFonts w:eastAsia="Calibri" w:cs="Times New Roman"/>
          <w:sz w:val="24"/>
          <w:szCs w:val="24"/>
        </w:rPr>
        <w:t>Ante esta</w:t>
      </w:r>
      <w:r w:rsidR="00B06389">
        <w:rPr>
          <w:rFonts w:eastAsia="Calibri" w:cs="Times New Roman"/>
          <w:sz w:val="24"/>
          <w:szCs w:val="24"/>
        </w:rPr>
        <w:t>s</w:t>
      </w:r>
      <w:r w:rsidRPr="009C0689">
        <w:rPr>
          <w:rFonts w:eastAsia="Calibri" w:cs="Times New Roman"/>
          <w:sz w:val="24"/>
          <w:szCs w:val="24"/>
        </w:rPr>
        <w:t xml:space="preserve"> situaciones y sobre todo, ante una estrategia de reinserción política</w:t>
      </w:r>
      <w:r w:rsidR="00B06389">
        <w:rPr>
          <w:rFonts w:eastAsia="Calibri" w:cs="Times New Roman"/>
          <w:sz w:val="24"/>
          <w:szCs w:val="24"/>
        </w:rPr>
        <w:t>,</w:t>
      </w:r>
      <w:r w:rsidRPr="009C0689">
        <w:rPr>
          <w:rFonts w:eastAsia="Calibri" w:cs="Times New Roman"/>
          <w:sz w:val="24"/>
          <w:szCs w:val="24"/>
        </w:rPr>
        <w:t xml:space="preserve"> el</w:t>
      </w:r>
      <w:r w:rsidR="00B06389">
        <w:rPr>
          <w:rFonts w:eastAsia="Calibri" w:cs="Times New Roman"/>
          <w:sz w:val="24"/>
          <w:szCs w:val="24"/>
        </w:rPr>
        <w:t xml:space="preserve"> grupo guerrillero cambia de estrategia. </w:t>
      </w:r>
      <w:r w:rsidR="00B06389" w:rsidRPr="009C0689">
        <w:rPr>
          <w:rFonts w:eastAsia="Calibri" w:cs="Times New Roman"/>
          <w:sz w:val="24"/>
          <w:szCs w:val="24"/>
        </w:rPr>
        <w:t>H</w:t>
      </w:r>
      <w:r w:rsidRPr="009C0689">
        <w:rPr>
          <w:rFonts w:eastAsia="Calibri" w:cs="Times New Roman"/>
          <w:sz w:val="24"/>
          <w:szCs w:val="24"/>
        </w:rPr>
        <w:t xml:space="preserve">a comenzado a ceder esta administración de justica a las comunidades por medio de las Juntas de Acción comunal. El siguiente diagrama muestra dicha estructura de justicia paralela. </w:t>
      </w:r>
    </w:p>
    <w:p w14:paraId="1940E051" w14:textId="1C971BDB" w:rsidR="00824AC4" w:rsidRPr="009C0689" w:rsidRDefault="00824AC4" w:rsidP="009C0689">
      <w:pPr>
        <w:spacing w:before="120" w:after="120" w:line="276" w:lineRule="auto"/>
        <w:jc w:val="both"/>
        <w:rPr>
          <w:rFonts w:eastAsia="Calibri" w:cs="Times New Roman"/>
          <w:sz w:val="24"/>
          <w:szCs w:val="24"/>
        </w:rPr>
      </w:pPr>
      <w:r w:rsidRPr="009C0689">
        <w:rPr>
          <w:rFonts w:eastAsia="Calibri" w:cs="Times New Roman"/>
          <w:noProof/>
          <w:sz w:val="24"/>
          <w:szCs w:val="24"/>
          <w:lang w:eastAsia="es-CO"/>
        </w:rPr>
        <w:drawing>
          <wp:inline distT="0" distB="0" distL="0" distR="0" wp14:anchorId="145166B2" wp14:editId="548D998F">
            <wp:extent cx="5612400" cy="3380400"/>
            <wp:effectExtent l="0" t="0" r="0" b="10795"/>
            <wp:docPr id="1"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8EA5026" w14:textId="77777777" w:rsidR="00824AC4" w:rsidRPr="009C0689" w:rsidRDefault="00824AC4" w:rsidP="009C0689">
      <w:pPr>
        <w:spacing w:before="120" w:after="120" w:line="276" w:lineRule="auto"/>
        <w:jc w:val="both"/>
        <w:rPr>
          <w:rFonts w:eastAsia="Calibri" w:cs="Times New Roman"/>
          <w:sz w:val="24"/>
          <w:szCs w:val="24"/>
        </w:rPr>
      </w:pPr>
    </w:p>
    <w:p w14:paraId="0011C203" w14:textId="77777777" w:rsidR="00824AC4" w:rsidRPr="009C0689" w:rsidRDefault="00824AC4" w:rsidP="009C0689">
      <w:pPr>
        <w:spacing w:before="120" w:after="120" w:line="276" w:lineRule="auto"/>
        <w:jc w:val="both"/>
        <w:rPr>
          <w:rFonts w:eastAsia="Calibri" w:cs="Times New Roman"/>
          <w:sz w:val="24"/>
          <w:szCs w:val="24"/>
        </w:rPr>
      </w:pPr>
    </w:p>
    <w:p w14:paraId="438EE301" w14:textId="03858C10" w:rsidR="00824AC4" w:rsidRPr="009C0689" w:rsidRDefault="00824AC4" w:rsidP="009C0689">
      <w:pPr>
        <w:spacing w:before="120" w:after="120" w:line="276" w:lineRule="auto"/>
        <w:jc w:val="both"/>
        <w:rPr>
          <w:rFonts w:eastAsia="Calibri" w:cs="Times New Roman"/>
          <w:sz w:val="24"/>
          <w:szCs w:val="24"/>
        </w:rPr>
      </w:pPr>
      <w:r w:rsidRPr="009C0689">
        <w:rPr>
          <w:rFonts w:eastAsia="Calibri" w:cs="Times New Roman"/>
          <w:sz w:val="24"/>
          <w:szCs w:val="24"/>
        </w:rPr>
        <w:t xml:space="preserve">Cada JAC debe crear un comité de conciliación, allí llegan los primeros casos de conflictos entre vecinos, si el comité no puede solucionarlo, este caso pasa a una segunda instancia, que es la JAC en pleno, si allí tampoco se soluciona se pasa a un Núcleo de Juntas, que es una agrupación de JAC de diferentes veredas. Y si allí tampoco se resuelve pasa </w:t>
      </w:r>
      <w:r w:rsidR="00B06389">
        <w:rPr>
          <w:rFonts w:eastAsia="Calibri" w:cs="Times New Roman"/>
          <w:sz w:val="24"/>
          <w:szCs w:val="24"/>
        </w:rPr>
        <w:t>al grupo guerrillero</w:t>
      </w:r>
      <w:r w:rsidRPr="009C0689">
        <w:rPr>
          <w:rFonts w:eastAsia="Calibri" w:cs="Times New Roman"/>
          <w:sz w:val="24"/>
          <w:szCs w:val="24"/>
        </w:rPr>
        <w:t>. Vale la pe</w:t>
      </w:r>
      <w:r w:rsidR="00B06389">
        <w:rPr>
          <w:rFonts w:eastAsia="Calibri" w:cs="Times New Roman"/>
          <w:sz w:val="24"/>
          <w:szCs w:val="24"/>
        </w:rPr>
        <w:t>na aclarar que en todo caso la</w:t>
      </w:r>
      <w:r w:rsidRPr="009C0689">
        <w:rPr>
          <w:rFonts w:eastAsia="Calibri" w:cs="Times New Roman"/>
          <w:sz w:val="24"/>
          <w:szCs w:val="24"/>
        </w:rPr>
        <w:t xml:space="preserve"> autonomía de las JAC en estas zonas d</w:t>
      </w:r>
      <w:r w:rsidR="00B06389">
        <w:rPr>
          <w:rFonts w:eastAsia="Calibri" w:cs="Times New Roman"/>
          <w:sz w:val="24"/>
          <w:szCs w:val="24"/>
        </w:rPr>
        <w:t>el país, no es auténtica</w:t>
      </w:r>
      <w:r w:rsidRPr="009C0689">
        <w:rPr>
          <w:rFonts w:eastAsia="Calibri" w:cs="Times New Roman"/>
          <w:sz w:val="24"/>
          <w:szCs w:val="24"/>
        </w:rPr>
        <w:t xml:space="preserve">, la supervisión de las FARC es amplia. Así las cosas por ejemplo en un proceso judicial </w:t>
      </w:r>
      <w:r w:rsidRPr="009C0689">
        <w:rPr>
          <w:rFonts w:eastAsia="Times New Roman" w:cs="Times New Roman"/>
          <w:bCs/>
          <w:color w:val="000000"/>
          <w:kern w:val="24"/>
          <w:sz w:val="24"/>
          <w:szCs w:val="24"/>
        </w:rPr>
        <w:t>de asistencia alimentaria en el Estado, con 3 conciliaciones, tarda en promedio de 6 a 8 meses. En la metodología en zonas de presencia FARC tarda en promedio de 2 a 4 semanas.</w:t>
      </w:r>
      <w:r w:rsidR="00BD0CA0" w:rsidRPr="009C0689">
        <w:rPr>
          <w:rFonts w:eastAsia="Times New Roman" w:cs="Times New Roman"/>
          <w:bCs/>
          <w:color w:val="000000"/>
          <w:kern w:val="24"/>
          <w:sz w:val="24"/>
          <w:szCs w:val="24"/>
        </w:rPr>
        <w:t xml:space="preserve"> Un líder comunitario manifiesta lo siguiente. </w:t>
      </w:r>
    </w:p>
    <w:p w14:paraId="4DC7CD52" w14:textId="77777777" w:rsidR="00C97247" w:rsidRPr="009C0689" w:rsidRDefault="00C97247" w:rsidP="009C0689">
      <w:pPr>
        <w:spacing w:before="120" w:after="120" w:line="276" w:lineRule="auto"/>
        <w:ind w:left="720"/>
        <w:jc w:val="both"/>
        <w:rPr>
          <w:rFonts w:eastAsia="Times New Roman" w:cs="Times New Roman"/>
          <w:sz w:val="24"/>
          <w:szCs w:val="24"/>
          <w:lang w:eastAsia="es-CO"/>
        </w:rPr>
      </w:pPr>
      <w:r w:rsidRPr="009C0689">
        <w:rPr>
          <w:rFonts w:eastAsia="+mn-ea" w:cs="+mn-cs"/>
          <w:color w:val="000000"/>
          <w:kern w:val="24"/>
          <w:sz w:val="24"/>
          <w:szCs w:val="24"/>
          <w:lang w:val="es-MX" w:eastAsia="es-CO"/>
        </w:rPr>
        <w:tab/>
        <w:t>“</w:t>
      </w:r>
      <w:r w:rsidRPr="009C0689">
        <w:rPr>
          <w:rFonts w:eastAsia="+mn-ea" w:cs="+mn-cs"/>
          <w:color w:val="000000"/>
          <w:kern w:val="24"/>
          <w:sz w:val="24"/>
          <w:szCs w:val="24"/>
          <w:lang w:eastAsia="es-CO"/>
        </w:rPr>
        <w:t>Dependen del ‘delito’, (infracción al manual de las FARC), siempre empieza por multas económicas o sanciones comunitarias (trabajar en carretera, hacer puente, sembrar cultivo, limpieza alcantarilla, etc.), las económicas las pagan directamente a las FARC (entre 200 y un millón). No asistir a una reunión citada por las FARC, la multa depende de la importancia de la misma y del que convoque. Un millón (aplica por) transitar después de las horas establecidas en el manual de convivencia. Estos dineros son pagados a un miliciano que se encuentra en la comunidad.</w:t>
      </w:r>
    </w:p>
    <w:p w14:paraId="67DE2E0D" w14:textId="7DEA05E1" w:rsidR="00B11823" w:rsidRPr="009C0689" w:rsidRDefault="00B06389" w:rsidP="009C0689">
      <w:pPr>
        <w:spacing w:before="120" w:after="120" w:line="276" w:lineRule="auto"/>
        <w:jc w:val="both"/>
        <w:rPr>
          <w:sz w:val="24"/>
          <w:szCs w:val="24"/>
        </w:rPr>
      </w:pPr>
      <w:r>
        <w:rPr>
          <w:sz w:val="24"/>
          <w:szCs w:val="24"/>
        </w:rPr>
        <w:t>Cambia también el papel de los nuevos reclutas</w:t>
      </w:r>
      <w:r w:rsidR="00DF7417" w:rsidRPr="009C0689">
        <w:rPr>
          <w:sz w:val="24"/>
          <w:szCs w:val="24"/>
        </w:rPr>
        <w:t>. En tres entrevistas diferentes, realizadas durante el año 2014, con diferentes estructuras de las FARC, fue notorio, como los nuevos reclutas vivían la mitad del año en sus veredas, con sus familias y la otra mitad del año recibían entrenamiento militar, tampoco dormían en campamentos, sino en casas, muchos incluso cumplían laboras agrícolas. Es decir, si bien las F</w:t>
      </w:r>
      <w:r>
        <w:rPr>
          <w:sz w:val="24"/>
          <w:szCs w:val="24"/>
        </w:rPr>
        <w:t xml:space="preserve">ARC mantienen una fuerza élite </w:t>
      </w:r>
      <w:r w:rsidR="00DF7417" w:rsidRPr="009C0689">
        <w:rPr>
          <w:sz w:val="24"/>
          <w:szCs w:val="24"/>
        </w:rPr>
        <w:t xml:space="preserve">permanente armada, lo cierto es que desde finales del año 2013 han “desmontado” varias estructuras para enviarlas a un proceso de reinserción política. Las FARC se preparan para el postconflicto y para todas las estructuras de las FARC es claro que el proceso de paz se va a firmar, esto no quiere decir que no existan miedos y desconfianzas. </w:t>
      </w:r>
    </w:p>
    <w:p w14:paraId="7765DBC7" w14:textId="465B078A" w:rsidR="00DF7417" w:rsidRPr="009C0689" w:rsidRDefault="00DF7417" w:rsidP="009C0689">
      <w:pPr>
        <w:spacing w:before="120" w:after="120" w:line="276" w:lineRule="auto"/>
        <w:jc w:val="both"/>
        <w:rPr>
          <w:sz w:val="24"/>
          <w:szCs w:val="24"/>
        </w:rPr>
      </w:pPr>
      <w:r w:rsidRPr="009C0689">
        <w:rPr>
          <w:sz w:val="24"/>
          <w:szCs w:val="24"/>
        </w:rPr>
        <w:t xml:space="preserve">Un último cambio observado en terreno es el aumento de las reuniones con las comunidades. Las FARC convocan </w:t>
      </w:r>
      <w:r w:rsidR="00B06389">
        <w:rPr>
          <w:sz w:val="24"/>
          <w:szCs w:val="24"/>
        </w:rPr>
        <w:t>a la comunidad en reuniones de</w:t>
      </w:r>
      <w:r w:rsidRPr="009C0689">
        <w:rPr>
          <w:sz w:val="24"/>
          <w:szCs w:val="24"/>
        </w:rPr>
        <w:t xml:space="preserve"> más de 200 personas, donde intentan reconstruir su base social y preparar su base política. La comunidad acude con miedo, y casi que de forma obligada, pero también acude con mucha expectativa.   </w:t>
      </w:r>
    </w:p>
    <w:p w14:paraId="064940BC" w14:textId="0DE13A59" w:rsidR="00DF7417" w:rsidRDefault="00866AEE" w:rsidP="006715F1">
      <w:pPr>
        <w:jc w:val="both"/>
      </w:pPr>
      <w:r>
        <w:rPr>
          <w:noProof/>
          <w:lang w:eastAsia="es-CO"/>
        </w:rPr>
        <w:drawing>
          <wp:inline distT="0" distB="0" distL="0" distR="0" wp14:anchorId="148817FD" wp14:editId="5D1C6369">
            <wp:extent cx="1819468" cy="909734"/>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acion-lgo-no-bg.png"/>
                    <pic:cNvPicPr/>
                  </pic:nvPicPr>
                  <pic:blipFill>
                    <a:blip r:embed="rId34">
                      <a:extLst>
                        <a:ext uri="{28A0092B-C50C-407E-A947-70E740481C1C}">
                          <a14:useLocalDpi xmlns:a14="http://schemas.microsoft.com/office/drawing/2010/main" val="0"/>
                        </a:ext>
                      </a:extLst>
                    </a:blip>
                    <a:stretch>
                      <a:fillRect/>
                    </a:stretch>
                  </pic:blipFill>
                  <pic:spPr>
                    <a:xfrm>
                      <a:off x="0" y="0"/>
                      <a:ext cx="1820957" cy="910478"/>
                    </a:xfrm>
                    <a:prstGeom prst="rect">
                      <a:avLst/>
                    </a:prstGeom>
                  </pic:spPr>
                </pic:pic>
              </a:graphicData>
            </a:graphic>
          </wp:inline>
        </w:drawing>
      </w:r>
    </w:p>
    <w:p w14:paraId="5199A614" w14:textId="1CA7E3F9" w:rsidR="00B11823" w:rsidRDefault="00DF7417" w:rsidP="006715F1">
      <w:pPr>
        <w:jc w:val="both"/>
      </w:pPr>
      <w:r>
        <w:t xml:space="preserve"> </w:t>
      </w:r>
    </w:p>
    <w:p w14:paraId="0E8522B0" w14:textId="77777777" w:rsidR="00B11823" w:rsidRDefault="00B11823" w:rsidP="006715F1">
      <w:pPr>
        <w:jc w:val="both"/>
      </w:pPr>
    </w:p>
    <w:p w14:paraId="1F305884" w14:textId="77777777" w:rsidR="00942C78" w:rsidRDefault="00942C78" w:rsidP="006715F1">
      <w:pPr>
        <w:jc w:val="both"/>
      </w:pPr>
    </w:p>
    <w:p w14:paraId="1CC07022" w14:textId="77777777" w:rsidR="00942C78" w:rsidRDefault="00942C78" w:rsidP="006715F1">
      <w:pPr>
        <w:jc w:val="both"/>
      </w:pPr>
    </w:p>
    <w:p w14:paraId="1D9A9A53" w14:textId="77777777" w:rsidR="00942C78" w:rsidRDefault="00942C78" w:rsidP="006715F1">
      <w:pPr>
        <w:jc w:val="both"/>
      </w:pPr>
    </w:p>
    <w:p w14:paraId="43FA7BAF" w14:textId="77777777" w:rsidR="00221BC8" w:rsidRDefault="00221BC8" w:rsidP="006715F1">
      <w:pPr>
        <w:jc w:val="both"/>
      </w:pPr>
    </w:p>
    <w:p w14:paraId="3CF0ABB5" w14:textId="77777777" w:rsidR="00642B39" w:rsidRDefault="00642B39"/>
    <w:sectPr w:rsidR="00642B3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F4400" w14:textId="77777777" w:rsidR="0009576A" w:rsidRDefault="0009576A" w:rsidP="00AE73C2">
      <w:pPr>
        <w:spacing w:after="0" w:line="240" w:lineRule="auto"/>
      </w:pPr>
      <w:r>
        <w:separator/>
      </w:r>
    </w:p>
  </w:endnote>
  <w:endnote w:type="continuationSeparator" w:id="0">
    <w:p w14:paraId="3A686F55" w14:textId="77777777" w:rsidR="0009576A" w:rsidRDefault="0009576A" w:rsidP="00AE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C414F" w14:textId="77777777" w:rsidR="0009576A" w:rsidRDefault="0009576A" w:rsidP="00AE73C2">
      <w:pPr>
        <w:spacing w:after="0" w:line="240" w:lineRule="auto"/>
      </w:pPr>
      <w:r>
        <w:separator/>
      </w:r>
    </w:p>
  </w:footnote>
  <w:footnote w:type="continuationSeparator" w:id="0">
    <w:p w14:paraId="4B4DC165" w14:textId="77777777" w:rsidR="0009576A" w:rsidRDefault="0009576A" w:rsidP="00AE73C2">
      <w:pPr>
        <w:spacing w:after="0" w:line="240" w:lineRule="auto"/>
      </w:pPr>
      <w:r>
        <w:continuationSeparator/>
      </w:r>
    </w:p>
  </w:footnote>
  <w:footnote w:id="1">
    <w:p w14:paraId="27087906" w14:textId="6AFFF3DE" w:rsidR="00CE1F1F" w:rsidRDefault="00CE1F1F">
      <w:pPr>
        <w:pStyle w:val="Textonotapie"/>
      </w:pPr>
      <w:r>
        <w:rPr>
          <w:rStyle w:val="Refdenotaalpie"/>
        </w:rPr>
        <w:footnoteRef/>
      </w:r>
      <w:r>
        <w:t xml:space="preserve"> </w:t>
      </w:r>
      <w:r w:rsidRPr="00AE73C2">
        <w:t>http://www.eltiempo.com/archivo/documento/CMS-13428072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F1990"/>
    <w:multiLevelType w:val="hybridMultilevel"/>
    <w:tmpl w:val="C7C20E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91F7923"/>
    <w:multiLevelType w:val="hybridMultilevel"/>
    <w:tmpl w:val="C7C20E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79C4E91"/>
    <w:multiLevelType w:val="hybridMultilevel"/>
    <w:tmpl w:val="C7C20E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DBB19A9"/>
    <w:multiLevelType w:val="hybridMultilevel"/>
    <w:tmpl w:val="2376CBD8"/>
    <w:lvl w:ilvl="0" w:tplc="9C2273C0">
      <w:start w:val="1"/>
      <w:numFmt w:val="bullet"/>
      <w:lvlText w:val=""/>
      <w:lvlJc w:val="left"/>
      <w:pPr>
        <w:tabs>
          <w:tab w:val="num" w:pos="720"/>
        </w:tabs>
        <w:ind w:left="720" w:hanging="360"/>
      </w:pPr>
      <w:rPr>
        <w:rFonts w:ascii="Wingdings" w:hAnsi="Wingdings" w:hint="default"/>
      </w:rPr>
    </w:lvl>
    <w:lvl w:ilvl="1" w:tplc="0CDCA84C" w:tentative="1">
      <w:start w:val="1"/>
      <w:numFmt w:val="bullet"/>
      <w:lvlText w:val=""/>
      <w:lvlJc w:val="left"/>
      <w:pPr>
        <w:tabs>
          <w:tab w:val="num" w:pos="1440"/>
        </w:tabs>
        <w:ind w:left="1440" w:hanging="360"/>
      </w:pPr>
      <w:rPr>
        <w:rFonts w:ascii="Wingdings" w:hAnsi="Wingdings" w:hint="default"/>
      </w:rPr>
    </w:lvl>
    <w:lvl w:ilvl="2" w:tplc="1130D786" w:tentative="1">
      <w:start w:val="1"/>
      <w:numFmt w:val="bullet"/>
      <w:lvlText w:val=""/>
      <w:lvlJc w:val="left"/>
      <w:pPr>
        <w:tabs>
          <w:tab w:val="num" w:pos="2160"/>
        </w:tabs>
        <w:ind w:left="2160" w:hanging="360"/>
      </w:pPr>
      <w:rPr>
        <w:rFonts w:ascii="Wingdings" w:hAnsi="Wingdings" w:hint="default"/>
      </w:rPr>
    </w:lvl>
    <w:lvl w:ilvl="3" w:tplc="D924C354" w:tentative="1">
      <w:start w:val="1"/>
      <w:numFmt w:val="bullet"/>
      <w:lvlText w:val=""/>
      <w:lvlJc w:val="left"/>
      <w:pPr>
        <w:tabs>
          <w:tab w:val="num" w:pos="2880"/>
        </w:tabs>
        <w:ind w:left="2880" w:hanging="360"/>
      </w:pPr>
      <w:rPr>
        <w:rFonts w:ascii="Wingdings" w:hAnsi="Wingdings" w:hint="default"/>
      </w:rPr>
    </w:lvl>
    <w:lvl w:ilvl="4" w:tplc="F5BCD64A" w:tentative="1">
      <w:start w:val="1"/>
      <w:numFmt w:val="bullet"/>
      <w:lvlText w:val=""/>
      <w:lvlJc w:val="left"/>
      <w:pPr>
        <w:tabs>
          <w:tab w:val="num" w:pos="3600"/>
        </w:tabs>
        <w:ind w:left="3600" w:hanging="360"/>
      </w:pPr>
      <w:rPr>
        <w:rFonts w:ascii="Wingdings" w:hAnsi="Wingdings" w:hint="default"/>
      </w:rPr>
    </w:lvl>
    <w:lvl w:ilvl="5" w:tplc="5EB83182" w:tentative="1">
      <w:start w:val="1"/>
      <w:numFmt w:val="bullet"/>
      <w:lvlText w:val=""/>
      <w:lvlJc w:val="left"/>
      <w:pPr>
        <w:tabs>
          <w:tab w:val="num" w:pos="4320"/>
        </w:tabs>
        <w:ind w:left="4320" w:hanging="360"/>
      </w:pPr>
      <w:rPr>
        <w:rFonts w:ascii="Wingdings" w:hAnsi="Wingdings" w:hint="default"/>
      </w:rPr>
    </w:lvl>
    <w:lvl w:ilvl="6" w:tplc="9CDAFC3A" w:tentative="1">
      <w:start w:val="1"/>
      <w:numFmt w:val="bullet"/>
      <w:lvlText w:val=""/>
      <w:lvlJc w:val="left"/>
      <w:pPr>
        <w:tabs>
          <w:tab w:val="num" w:pos="5040"/>
        </w:tabs>
        <w:ind w:left="5040" w:hanging="360"/>
      </w:pPr>
      <w:rPr>
        <w:rFonts w:ascii="Wingdings" w:hAnsi="Wingdings" w:hint="default"/>
      </w:rPr>
    </w:lvl>
    <w:lvl w:ilvl="7" w:tplc="D542013E" w:tentative="1">
      <w:start w:val="1"/>
      <w:numFmt w:val="bullet"/>
      <w:lvlText w:val=""/>
      <w:lvlJc w:val="left"/>
      <w:pPr>
        <w:tabs>
          <w:tab w:val="num" w:pos="5760"/>
        </w:tabs>
        <w:ind w:left="5760" w:hanging="360"/>
      </w:pPr>
      <w:rPr>
        <w:rFonts w:ascii="Wingdings" w:hAnsi="Wingdings" w:hint="default"/>
      </w:rPr>
    </w:lvl>
    <w:lvl w:ilvl="8" w:tplc="E52EB926" w:tentative="1">
      <w:start w:val="1"/>
      <w:numFmt w:val="bullet"/>
      <w:lvlText w:val=""/>
      <w:lvlJc w:val="left"/>
      <w:pPr>
        <w:tabs>
          <w:tab w:val="num" w:pos="6480"/>
        </w:tabs>
        <w:ind w:left="6480" w:hanging="360"/>
      </w:pPr>
      <w:rPr>
        <w:rFonts w:ascii="Wingdings" w:hAnsi="Wingdings" w:hint="default"/>
      </w:rPr>
    </w:lvl>
  </w:abstractNum>
  <w:abstractNum w:abstractNumId="4">
    <w:nsid w:val="7FBF134F"/>
    <w:multiLevelType w:val="hybridMultilevel"/>
    <w:tmpl w:val="1E5610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BCC"/>
    <w:rsid w:val="000259D5"/>
    <w:rsid w:val="00030614"/>
    <w:rsid w:val="0009576A"/>
    <w:rsid w:val="000A7030"/>
    <w:rsid w:val="000C2A70"/>
    <w:rsid w:val="000C3D89"/>
    <w:rsid w:val="000D5476"/>
    <w:rsid w:val="000E38A3"/>
    <w:rsid w:val="001028F2"/>
    <w:rsid w:val="001314AE"/>
    <w:rsid w:val="00134A60"/>
    <w:rsid w:val="001A2985"/>
    <w:rsid w:val="001B62A1"/>
    <w:rsid w:val="001D0F01"/>
    <w:rsid w:val="00207F3A"/>
    <w:rsid w:val="00221BC8"/>
    <w:rsid w:val="00227E57"/>
    <w:rsid w:val="00245DB2"/>
    <w:rsid w:val="00247056"/>
    <w:rsid w:val="00250637"/>
    <w:rsid w:val="00297C45"/>
    <w:rsid w:val="002B1ADE"/>
    <w:rsid w:val="0032799A"/>
    <w:rsid w:val="00354FC4"/>
    <w:rsid w:val="003960AE"/>
    <w:rsid w:val="003C225F"/>
    <w:rsid w:val="003C4045"/>
    <w:rsid w:val="00410006"/>
    <w:rsid w:val="00421744"/>
    <w:rsid w:val="004243E4"/>
    <w:rsid w:val="00442FB8"/>
    <w:rsid w:val="00447439"/>
    <w:rsid w:val="00467C38"/>
    <w:rsid w:val="0047049A"/>
    <w:rsid w:val="0048028D"/>
    <w:rsid w:val="00481D21"/>
    <w:rsid w:val="00492729"/>
    <w:rsid w:val="004B0C72"/>
    <w:rsid w:val="004E57B0"/>
    <w:rsid w:val="00511BCC"/>
    <w:rsid w:val="00563141"/>
    <w:rsid w:val="0057758C"/>
    <w:rsid w:val="0059560D"/>
    <w:rsid w:val="0059575A"/>
    <w:rsid w:val="00597D80"/>
    <w:rsid w:val="005C796C"/>
    <w:rsid w:val="0061063B"/>
    <w:rsid w:val="00616121"/>
    <w:rsid w:val="00642B39"/>
    <w:rsid w:val="00654E83"/>
    <w:rsid w:val="00661391"/>
    <w:rsid w:val="00662A96"/>
    <w:rsid w:val="006715F1"/>
    <w:rsid w:val="00681ECB"/>
    <w:rsid w:val="006B1B96"/>
    <w:rsid w:val="006B2D98"/>
    <w:rsid w:val="006C2819"/>
    <w:rsid w:val="006F3F4E"/>
    <w:rsid w:val="007329B8"/>
    <w:rsid w:val="007529B2"/>
    <w:rsid w:val="0079602C"/>
    <w:rsid w:val="007E5CFE"/>
    <w:rsid w:val="007F045E"/>
    <w:rsid w:val="0082097D"/>
    <w:rsid w:val="00824924"/>
    <w:rsid w:val="00824AC4"/>
    <w:rsid w:val="00837147"/>
    <w:rsid w:val="00866AEE"/>
    <w:rsid w:val="00873F42"/>
    <w:rsid w:val="008A17DA"/>
    <w:rsid w:val="008C6F95"/>
    <w:rsid w:val="008E0378"/>
    <w:rsid w:val="008F7A47"/>
    <w:rsid w:val="009424C7"/>
    <w:rsid w:val="00942C78"/>
    <w:rsid w:val="00950C74"/>
    <w:rsid w:val="00972F73"/>
    <w:rsid w:val="009C0689"/>
    <w:rsid w:val="009E4119"/>
    <w:rsid w:val="009F24B8"/>
    <w:rsid w:val="009F732A"/>
    <w:rsid w:val="00A62246"/>
    <w:rsid w:val="00A72190"/>
    <w:rsid w:val="00AA6213"/>
    <w:rsid w:val="00AA671A"/>
    <w:rsid w:val="00AE73C2"/>
    <w:rsid w:val="00B06389"/>
    <w:rsid w:val="00B064AF"/>
    <w:rsid w:val="00B10776"/>
    <w:rsid w:val="00B10F48"/>
    <w:rsid w:val="00B11823"/>
    <w:rsid w:val="00B118FD"/>
    <w:rsid w:val="00B252A7"/>
    <w:rsid w:val="00B34FD7"/>
    <w:rsid w:val="00B44BC1"/>
    <w:rsid w:val="00BD0CA0"/>
    <w:rsid w:val="00BE49F7"/>
    <w:rsid w:val="00BE6CD8"/>
    <w:rsid w:val="00C0282A"/>
    <w:rsid w:val="00C0548B"/>
    <w:rsid w:val="00C26FB6"/>
    <w:rsid w:val="00C31777"/>
    <w:rsid w:val="00C55209"/>
    <w:rsid w:val="00C654CD"/>
    <w:rsid w:val="00C97247"/>
    <w:rsid w:val="00CA21F7"/>
    <w:rsid w:val="00CB597F"/>
    <w:rsid w:val="00CC57B2"/>
    <w:rsid w:val="00CE1F1F"/>
    <w:rsid w:val="00D0300A"/>
    <w:rsid w:val="00D165F7"/>
    <w:rsid w:val="00D20AFA"/>
    <w:rsid w:val="00D24C41"/>
    <w:rsid w:val="00D26CBD"/>
    <w:rsid w:val="00D3710E"/>
    <w:rsid w:val="00D41A26"/>
    <w:rsid w:val="00D45988"/>
    <w:rsid w:val="00D72935"/>
    <w:rsid w:val="00D741E0"/>
    <w:rsid w:val="00DB1AAD"/>
    <w:rsid w:val="00DB3D04"/>
    <w:rsid w:val="00DF7060"/>
    <w:rsid w:val="00DF7417"/>
    <w:rsid w:val="00E15210"/>
    <w:rsid w:val="00E15FE9"/>
    <w:rsid w:val="00E83C12"/>
    <w:rsid w:val="00E91A50"/>
    <w:rsid w:val="00F36006"/>
    <w:rsid w:val="00F41FF0"/>
    <w:rsid w:val="00F70013"/>
    <w:rsid w:val="00F8127D"/>
    <w:rsid w:val="00F82208"/>
    <w:rsid w:val="00F84309"/>
    <w:rsid w:val="00FA0442"/>
    <w:rsid w:val="00FA2011"/>
    <w:rsid w:val="00FB2E36"/>
    <w:rsid w:val="00FB37BB"/>
    <w:rsid w:val="00FB645D"/>
    <w:rsid w:val="00FC5F25"/>
    <w:rsid w:val="00FD0D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054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028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1BCC"/>
    <w:pPr>
      <w:ind w:left="720"/>
      <w:contextualSpacing/>
    </w:pPr>
  </w:style>
  <w:style w:type="character" w:styleId="Refdecomentario">
    <w:name w:val="annotation reference"/>
    <w:basedOn w:val="Fuentedeprrafopredeter"/>
    <w:uiPriority w:val="99"/>
    <w:semiHidden/>
    <w:unhideWhenUsed/>
    <w:rsid w:val="004E57B0"/>
    <w:rPr>
      <w:sz w:val="16"/>
      <w:szCs w:val="16"/>
    </w:rPr>
  </w:style>
  <w:style w:type="paragraph" w:styleId="Textocomentario">
    <w:name w:val="annotation text"/>
    <w:basedOn w:val="Normal"/>
    <w:link w:val="TextocomentarioCar"/>
    <w:uiPriority w:val="99"/>
    <w:semiHidden/>
    <w:unhideWhenUsed/>
    <w:rsid w:val="004E57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57B0"/>
    <w:rPr>
      <w:sz w:val="20"/>
      <w:szCs w:val="20"/>
    </w:rPr>
  </w:style>
  <w:style w:type="paragraph" w:styleId="Asuntodelcomentario">
    <w:name w:val="annotation subject"/>
    <w:basedOn w:val="Textocomentario"/>
    <w:next w:val="Textocomentario"/>
    <w:link w:val="AsuntodelcomentarioCar"/>
    <w:uiPriority w:val="99"/>
    <w:semiHidden/>
    <w:unhideWhenUsed/>
    <w:rsid w:val="004E57B0"/>
    <w:rPr>
      <w:b/>
      <w:bCs/>
    </w:rPr>
  </w:style>
  <w:style w:type="character" w:customStyle="1" w:styleId="AsuntodelcomentarioCar">
    <w:name w:val="Asunto del comentario Car"/>
    <w:basedOn w:val="TextocomentarioCar"/>
    <w:link w:val="Asuntodelcomentario"/>
    <w:uiPriority w:val="99"/>
    <w:semiHidden/>
    <w:rsid w:val="004E57B0"/>
    <w:rPr>
      <w:b/>
      <w:bCs/>
      <w:sz w:val="20"/>
      <w:szCs w:val="20"/>
    </w:rPr>
  </w:style>
  <w:style w:type="paragraph" w:styleId="Textodeglobo">
    <w:name w:val="Balloon Text"/>
    <w:basedOn w:val="Normal"/>
    <w:link w:val="TextodegloboCar"/>
    <w:uiPriority w:val="99"/>
    <w:semiHidden/>
    <w:unhideWhenUsed/>
    <w:rsid w:val="004E57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57B0"/>
    <w:rPr>
      <w:rFonts w:ascii="Segoe UI" w:hAnsi="Segoe UI" w:cs="Segoe UI"/>
      <w:sz w:val="18"/>
      <w:szCs w:val="18"/>
    </w:rPr>
  </w:style>
  <w:style w:type="paragraph" w:styleId="Textonotapie">
    <w:name w:val="footnote text"/>
    <w:basedOn w:val="Normal"/>
    <w:link w:val="TextonotapieCar"/>
    <w:uiPriority w:val="99"/>
    <w:semiHidden/>
    <w:unhideWhenUsed/>
    <w:rsid w:val="00AE73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E73C2"/>
    <w:rPr>
      <w:sz w:val="20"/>
      <w:szCs w:val="20"/>
    </w:rPr>
  </w:style>
  <w:style w:type="character" w:styleId="Refdenotaalpie">
    <w:name w:val="footnote reference"/>
    <w:aliases w:val="referencia nota al pie,Texto de nota al pie,Footnotes refss,BVI fnr,Appel note de bas de page,Footnote symbol,Footnote,Footnote number,f,Ref. de nota al pie.,4_G,16 Point,Superscript 6 Point,Texto nota al pie,Ref. de nota al pi,Ref"/>
    <w:basedOn w:val="Fuentedeprrafopredeter"/>
    <w:unhideWhenUsed/>
    <w:rsid w:val="00AE73C2"/>
    <w:rPr>
      <w:vertAlign w:val="superscript"/>
    </w:rPr>
  </w:style>
  <w:style w:type="table" w:customStyle="1" w:styleId="Tabladecuadrcula5oscura-nfasis41">
    <w:name w:val="Tabla de cuadrícula 5 oscura - Énfasis 41"/>
    <w:basedOn w:val="Tablanormal"/>
    <w:uiPriority w:val="50"/>
    <w:rsid w:val="00DB1AA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Ttulo1Car">
    <w:name w:val="Título 1 Car"/>
    <w:basedOn w:val="Fuentedeprrafopredeter"/>
    <w:link w:val="Ttulo1"/>
    <w:uiPriority w:val="9"/>
    <w:rsid w:val="00C0548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B064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tulo2Car">
    <w:name w:val="Título 2 Car"/>
    <w:basedOn w:val="Fuentedeprrafopredeter"/>
    <w:link w:val="Ttulo2"/>
    <w:uiPriority w:val="9"/>
    <w:rsid w:val="001028F2"/>
    <w:rPr>
      <w:rFonts w:asciiTheme="majorHAnsi" w:eastAsiaTheme="majorEastAsia" w:hAnsiTheme="majorHAnsi" w:cstheme="majorBidi"/>
      <w:color w:val="2E74B5" w:themeColor="accent1" w:themeShade="BF"/>
      <w:sz w:val="26"/>
      <w:szCs w:val="26"/>
    </w:rPr>
  </w:style>
  <w:style w:type="character" w:styleId="Hipervnculo">
    <w:name w:val="Hyperlink"/>
    <w:uiPriority w:val="99"/>
    <w:unhideWhenUsed/>
    <w:rsid w:val="00824A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054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028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1BCC"/>
    <w:pPr>
      <w:ind w:left="720"/>
      <w:contextualSpacing/>
    </w:pPr>
  </w:style>
  <w:style w:type="character" w:styleId="Refdecomentario">
    <w:name w:val="annotation reference"/>
    <w:basedOn w:val="Fuentedeprrafopredeter"/>
    <w:uiPriority w:val="99"/>
    <w:semiHidden/>
    <w:unhideWhenUsed/>
    <w:rsid w:val="004E57B0"/>
    <w:rPr>
      <w:sz w:val="16"/>
      <w:szCs w:val="16"/>
    </w:rPr>
  </w:style>
  <w:style w:type="paragraph" w:styleId="Textocomentario">
    <w:name w:val="annotation text"/>
    <w:basedOn w:val="Normal"/>
    <w:link w:val="TextocomentarioCar"/>
    <w:uiPriority w:val="99"/>
    <w:semiHidden/>
    <w:unhideWhenUsed/>
    <w:rsid w:val="004E57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57B0"/>
    <w:rPr>
      <w:sz w:val="20"/>
      <w:szCs w:val="20"/>
    </w:rPr>
  </w:style>
  <w:style w:type="paragraph" w:styleId="Asuntodelcomentario">
    <w:name w:val="annotation subject"/>
    <w:basedOn w:val="Textocomentario"/>
    <w:next w:val="Textocomentario"/>
    <w:link w:val="AsuntodelcomentarioCar"/>
    <w:uiPriority w:val="99"/>
    <w:semiHidden/>
    <w:unhideWhenUsed/>
    <w:rsid w:val="004E57B0"/>
    <w:rPr>
      <w:b/>
      <w:bCs/>
    </w:rPr>
  </w:style>
  <w:style w:type="character" w:customStyle="1" w:styleId="AsuntodelcomentarioCar">
    <w:name w:val="Asunto del comentario Car"/>
    <w:basedOn w:val="TextocomentarioCar"/>
    <w:link w:val="Asuntodelcomentario"/>
    <w:uiPriority w:val="99"/>
    <w:semiHidden/>
    <w:rsid w:val="004E57B0"/>
    <w:rPr>
      <w:b/>
      <w:bCs/>
      <w:sz w:val="20"/>
      <w:szCs w:val="20"/>
    </w:rPr>
  </w:style>
  <w:style w:type="paragraph" w:styleId="Textodeglobo">
    <w:name w:val="Balloon Text"/>
    <w:basedOn w:val="Normal"/>
    <w:link w:val="TextodegloboCar"/>
    <w:uiPriority w:val="99"/>
    <w:semiHidden/>
    <w:unhideWhenUsed/>
    <w:rsid w:val="004E57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57B0"/>
    <w:rPr>
      <w:rFonts w:ascii="Segoe UI" w:hAnsi="Segoe UI" w:cs="Segoe UI"/>
      <w:sz w:val="18"/>
      <w:szCs w:val="18"/>
    </w:rPr>
  </w:style>
  <w:style w:type="paragraph" w:styleId="Textonotapie">
    <w:name w:val="footnote text"/>
    <w:basedOn w:val="Normal"/>
    <w:link w:val="TextonotapieCar"/>
    <w:uiPriority w:val="99"/>
    <w:semiHidden/>
    <w:unhideWhenUsed/>
    <w:rsid w:val="00AE73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E73C2"/>
    <w:rPr>
      <w:sz w:val="20"/>
      <w:szCs w:val="20"/>
    </w:rPr>
  </w:style>
  <w:style w:type="character" w:styleId="Refdenotaalpie">
    <w:name w:val="footnote reference"/>
    <w:aliases w:val="referencia nota al pie,Texto de nota al pie,Footnotes refss,BVI fnr,Appel note de bas de page,Footnote symbol,Footnote,Footnote number,f,Ref. de nota al pie.,4_G,16 Point,Superscript 6 Point,Texto nota al pie,Ref. de nota al pi,Ref"/>
    <w:basedOn w:val="Fuentedeprrafopredeter"/>
    <w:unhideWhenUsed/>
    <w:rsid w:val="00AE73C2"/>
    <w:rPr>
      <w:vertAlign w:val="superscript"/>
    </w:rPr>
  </w:style>
  <w:style w:type="table" w:customStyle="1" w:styleId="Tabladecuadrcula5oscura-nfasis41">
    <w:name w:val="Tabla de cuadrícula 5 oscura - Énfasis 41"/>
    <w:basedOn w:val="Tablanormal"/>
    <w:uiPriority w:val="50"/>
    <w:rsid w:val="00DB1AA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Ttulo1Car">
    <w:name w:val="Título 1 Car"/>
    <w:basedOn w:val="Fuentedeprrafopredeter"/>
    <w:link w:val="Ttulo1"/>
    <w:uiPriority w:val="9"/>
    <w:rsid w:val="00C0548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B064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tulo2Car">
    <w:name w:val="Título 2 Car"/>
    <w:basedOn w:val="Fuentedeprrafopredeter"/>
    <w:link w:val="Ttulo2"/>
    <w:uiPriority w:val="9"/>
    <w:rsid w:val="001028F2"/>
    <w:rPr>
      <w:rFonts w:asciiTheme="majorHAnsi" w:eastAsiaTheme="majorEastAsia" w:hAnsiTheme="majorHAnsi" w:cstheme="majorBidi"/>
      <w:color w:val="2E74B5" w:themeColor="accent1" w:themeShade="BF"/>
      <w:sz w:val="26"/>
      <w:szCs w:val="26"/>
    </w:rPr>
  </w:style>
  <w:style w:type="character" w:styleId="Hipervnculo">
    <w:name w:val="Hyperlink"/>
    <w:uiPriority w:val="99"/>
    <w:unhideWhenUsed/>
    <w:rsid w:val="00824A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4892">
      <w:bodyDiv w:val="1"/>
      <w:marLeft w:val="0"/>
      <w:marRight w:val="0"/>
      <w:marTop w:val="0"/>
      <w:marBottom w:val="0"/>
      <w:divBdr>
        <w:top w:val="none" w:sz="0" w:space="0" w:color="auto"/>
        <w:left w:val="none" w:sz="0" w:space="0" w:color="auto"/>
        <w:bottom w:val="none" w:sz="0" w:space="0" w:color="auto"/>
        <w:right w:val="none" w:sz="0" w:space="0" w:color="auto"/>
      </w:divBdr>
      <w:divsChild>
        <w:div w:id="574702770">
          <w:marLeft w:val="547"/>
          <w:marRight w:val="0"/>
          <w:marTop w:val="115"/>
          <w:marBottom w:val="0"/>
          <w:divBdr>
            <w:top w:val="none" w:sz="0" w:space="0" w:color="auto"/>
            <w:left w:val="none" w:sz="0" w:space="0" w:color="auto"/>
            <w:bottom w:val="none" w:sz="0" w:space="0" w:color="auto"/>
            <w:right w:val="none" w:sz="0" w:space="0" w:color="auto"/>
          </w:divBdr>
        </w:div>
      </w:divsChild>
    </w:div>
    <w:div w:id="587931833">
      <w:bodyDiv w:val="1"/>
      <w:marLeft w:val="0"/>
      <w:marRight w:val="0"/>
      <w:marTop w:val="0"/>
      <w:marBottom w:val="0"/>
      <w:divBdr>
        <w:top w:val="none" w:sz="0" w:space="0" w:color="auto"/>
        <w:left w:val="none" w:sz="0" w:space="0" w:color="auto"/>
        <w:bottom w:val="none" w:sz="0" w:space="0" w:color="auto"/>
        <w:right w:val="none" w:sz="0" w:space="0" w:color="auto"/>
      </w:divBdr>
    </w:div>
    <w:div w:id="615911847">
      <w:bodyDiv w:val="1"/>
      <w:marLeft w:val="0"/>
      <w:marRight w:val="0"/>
      <w:marTop w:val="0"/>
      <w:marBottom w:val="0"/>
      <w:divBdr>
        <w:top w:val="none" w:sz="0" w:space="0" w:color="auto"/>
        <w:left w:val="none" w:sz="0" w:space="0" w:color="auto"/>
        <w:bottom w:val="none" w:sz="0" w:space="0" w:color="auto"/>
        <w:right w:val="none" w:sz="0" w:space="0" w:color="auto"/>
      </w:divBdr>
      <w:divsChild>
        <w:div w:id="1284069933">
          <w:marLeft w:val="0"/>
          <w:marRight w:val="0"/>
          <w:marTop w:val="0"/>
          <w:marBottom w:val="0"/>
          <w:divBdr>
            <w:top w:val="none" w:sz="0" w:space="0" w:color="auto"/>
            <w:left w:val="none" w:sz="0" w:space="0" w:color="auto"/>
            <w:bottom w:val="none" w:sz="0" w:space="0" w:color="auto"/>
            <w:right w:val="none" w:sz="0" w:space="0" w:color="auto"/>
          </w:divBdr>
        </w:div>
        <w:div w:id="238563546">
          <w:marLeft w:val="0"/>
          <w:marRight w:val="0"/>
          <w:marTop w:val="0"/>
          <w:marBottom w:val="0"/>
          <w:divBdr>
            <w:top w:val="none" w:sz="0" w:space="0" w:color="auto"/>
            <w:left w:val="none" w:sz="0" w:space="0" w:color="auto"/>
            <w:bottom w:val="none" w:sz="0" w:space="0" w:color="auto"/>
            <w:right w:val="none" w:sz="0" w:space="0" w:color="auto"/>
          </w:divBdr>
        </w:div>
        <w:div w:id="722757653">
          <w:marLeft w:val="0"/>
          <w:marRight w:val="0"/>
          <w:marTop w:val="0"/>
          <w:marBottom w:val="0"/>
          <w:divBdr>
            <w:top w:val="none" w:sz="0" w:space="0" w:color="auto"/>
            <w:left w:val="none" w:sz="0" w:space="0" w:color="auto"/>
            <w:bottom w:val="none" w:sz="0" w:space="0" w:color="auto"/>
            <w:right w:val="none" w:sz="0" w:space="0" w:color="auto"/>
          </w:divBdr>
        </w:div>
        <w:div w:id="389839917">
          <w:marLeft w:val="0"/>
          <w:marRight w:val="0"/>
          <w:marTop w:val="0"/>
          <w:marBottom w:val="0"/>
          <w:divBdr>
            <w:top w:val="none" w:sz="0" w:space="0" w:color="auto"/>
            <w:left w:val="none" w:sz="0" w:space="0" w:color="auto"/>
            <w:bottom w:val="none" w:sz="0" w:space="0" w:color="auto"/>
            <w:right w:val="none" w:sz="0" w:space="0" w:color="auto"/>
          </w:divBdr>
        </w:div>
        <w:div w:id="841553152">
          <w:marLeft w:val="0"/>
          <w:marRight w:val="0"/>
          <w:marTop w:val="0"/>
          <w:marBottom w:val="0"/>
          <w:divBdr>
            <w:top w:val="none" w:sz="0" w:space="0" w:color="auto"/>
            <w:left w:val="none" w:sz="0" w:space="0" w:color="auto"/>
            <w:bottom w:val="none" w:sz="0" w:space="0" w:color="auto"/>
            <w:right w:val="none" w:sz="0" w:space="0" w:color="auto"/>
          </w:divBdr>
          <w:divsChild>
            <w:div w:id="1282683408">
              <w:marLeft w:val="0"/>
              <w:marRight w:val="0"/>
              <w:marTop w:val="0"/>
              <w:marBottom w:val="0"/>
              <w:divBdr>
                <w:top w:val="none" w:sz="0" w:space="0" w:color="auto"/>
                <w:left w:val="none" w:sz="0" w:space="0" w:color="auto"/>
                <w:bottom w:val="none" w:sz="0" w:space="0" w:color="auto"/>
                <w:right w:val="none" w:sz="0" w:space="0" w:color="auto"/>
              </w:divBdr>
              <w:divsChild>
                <w:div w:id="181675263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8.xm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image" Target="media/image2.png"/><Relationship Id="rId30" Type="http://schemas.openxmlformats.org/officeDocument/2006/relationships/diagramLayout" Target="diagrams/layout1.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11.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12.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9.xlsx"/><Relationship Id="rId1" Type="http://schemas.openxmlformats.org/officeDocument/2006/relationships/themeOverride" Target="../theme/themeOverride5.xml"/></Relationships>
</file>

<file path=word/charts/_rels/chart16.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7.xml.rels><?xml version="1.0" encoding="UTF-8" standalone="yes"?>
<Relationships xmlns="http://schemas.openxmlformats.org/package/2006/relationships"><Relationship Id="rId1" Type="http://schemas.openxmlformats.org/officeDocument/2006/relationships/oleObject" Target="file:///C:\Users\CarlosEduardo\Dropbox\Fundaci&#243;n%20Paz%20y%20Reconciliaci&#243;n\Datos%20desplazamiento%20Forzado.xlsx" TargetMode="External"/></Relationships>
</file>

<file path=word/charts/_rels/chart18.xml.rels><?xml version="1.0" encoding="UTF-8" standalone="yes"?>
<Relationships xmlns="http://schemas.openxmlformats.org/package/2006/relationships"><Relationship Id="rId2" Type="http://schemas.openxmlformats.org/officeDocument/2006/relationships/package" Target="../embeddings/Hoja_de_c_lculo_de_Microsoft_Excel11.xlsx"/><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Hoja3!$A$5:$A$22</c:f>
              <c:numCache>
                <c:formatCode>General</c:formatCode>
                <c:ptCount val="18"/>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numCache>
            </c:numRef>
          </c:cat>
          <c:val>
            <c:numRef>
              <c:f>Hoja3!$B$5:$B$22</c:f>
              <c:numCache>
                <c:formatCode>General</c:formatCode>
                <c:ptCount val="18"/>
                <c:pt idx="0">
                  <c:v>822</c:v>
                </c:pt>
                <c:pt idx="1">
                  <c:v>1115</c:v>
                </c:pt>
                <c:pt idx="2">
                  <c:v>1116</c:v>
                </c:pt>
                <c:pt idx="3">
                  <c:v>1087</c:v>
                </c:pt>
                <c:pt idx="4">
                  <c:v>885</c:v>
                </c:pt>
                <c:pt idx="5">
                  <c:v>2063</c:v>
                </c:pt>
                <c:pt idx="6">
                  <c:v>982</c:v>
                </c:pt>
                <c:pt idx="7">
                  <c:v>949</c:v>
                </c:pt>
                <c:pt idx="8">
                  <c:v>1008</c:v>
                </c:pt>
                <c:pt idx="9">
                  <c:v>1026</c:v>
                </c:pt>
                <c:pt idx="10">
                  <c:v>1057</c:v>
                </c:pt>
                <c:pt idx="11">
                  <c:v>1353</c:v>
                </c:pt>
                <c:pt idx="12">
                  <c:v>1614</c:v>
                </c:pt>
                <c:pt idx="13">
                  <c:v>1947</c:v>
                </c:pt>
                <c:pt idx="14">
                  <c:v>2148</c:v>
                </c:pt>
                <c:pt idx="15">
                  <c:v>1944</c:v>
                </c:pt>
                <c:pt idx="16">
                  <c:v>2003</c:v>
                </c:pt>
                <c:pt idx="17">
                  <c:v>1186</c:v>
                </c:pt>
              </c:numCache>
            </c:numRef>
          </c:val>
          <c:smooth val="0"/>
        </c:ser>
        <c:dLbls>
          <c:dLblPos val="ctr"/>
          <c:showLegendKey val="0"/>
          <c:showVal val="1"/>
          <c:showCatName val="0"/>
          <c:showSerName val="0"/>
          <c:showPercent val="0"/>
          <c:showBubbleSize val="0"/>
        </c:dLbls>
        <c:marker val="1"/>
        <c:smooth val="0"/>
        <c:axId val="238953216"/>
        <c:axId val="240185728"/>
      </c:lineChart>
      <c:catAx>
        <c:axId val="2389532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es-CO"/>
          </a:p>
        </c:txPr>
        <c:crossAx val="240185728"/>
        <c:crosses val="autoZero"/>
        <c:auto val="1"/>
        <c:lblAlgn val="ctr"/>
        <c:lblOffset val="100"/>
        <c:noMultiLvlLbl val="0"/>
      </c:catAx>
      <c:valAx>
        <c:axId val="2401857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3895321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'[Gráfico 2014 min defensa.xlsx]Hoja1'!$C$3</c:f>
              <c:strCache>
                <c:ptCount val="1"/>
                <c:pt idx="0">
                  <c:v>Historico Nacional</c:v>
                </c:pt>
              </c:strCache>
            </c:strRef>
          </c:tx>
          <c:spPr>
            <a:solidFill>
              <a:schemeClr val="accent6"/>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'[Gráfico 2014 min defensa.xlsx]Hoja1'!$C$4:$N$4</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'[Gráfico 2014 min defensa.xlsx]Hoja1'!$C$5:$N$5</c:f>
              <c:numCache>
                <c:formatCode>General</c:formatCode>
                <c:ptCount val="12"/>
                <c:pt idx="0">
                  <c:v>2538</c:v>
                </c:pt>
                <c:pt idx="1">
                  <c:v>2972</c:v>
                </c:pt>
                <c:pt idx="2">
                  <c:v>2564</c:v>
                </c:pt>
                <c:pt idx="3">
                  <c:v>2460</c:v>
                </c:pt>
                <c:pt idx="4">
                  <c:v>3192</c:v>
                </c:pt>
                <c:pt idx="5">
                  <c:v>3461</c:v>
                </c:pt>
                <c:pt idx="6">
                  <c:v>2638</c:v>
                </c:pt>
                <c:pt idx="7">
                  <c:v>2446</c:v>
                </c:pt>
                <c:pt idx="8">
                  <c:v>1527</c:v>
                </c:pt>
                <c:pt idx="9">
                  <c:v>1140</c:v>
                </c:pt>
                <c:pt idx="10">
                  <c:v>1350</c:v>
                </c:pt>
                <c:pt idx="11">
                  <c:v>1349</c:v>
                </c:pt>
              </c:numCache>
            </c:numRef>
          </c:val>
        </c:ser>
        <c:dLbls>
          <c:dLblPos val="inEnd"/>
          <c:showLegendKey val="0"/>
          <c:showVal val="1"/>
          <c:showCatName val="0"/>
          <c:showSerName val="0"/>
          <c:showPercent val="0"/>
          <c:showBubbleSize val="0"/>
        </c:dLbls>
        <c:gapWidth val="41"/>
        <c:axId val="232524032"/>
        <c:axId val="232539264"/>
      </c:barChart>
      <c:catAx>
        <c:axId val="232524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CO"/>
          </a:p>
        </c:txPr>
        <c:crossAx val="232539264"/>
        <c:crosses val="autoZero"/>
        <c:auto val="1"/>
        <c:lblAlgn val="ctr"/>
        <c:lblOffset val="100"/>
        <c:noMultiLvlLbl val="0"/>
      </c:catAx>
      <c:valAx>
        <c:axId val="232539264"/>
        <c:scaling>
          <c:orientation val="minMax"/>
        </c:scaling>
        <c:delete val="1"/>
        <c:axPos val="l"/>
        <c:numFmt formatCode="General" sourceLinked="1"/>
        <c:majorTickMark val="none"/>
        <c:minorTickMark val="none"/>
        <c:tickLblPos val="nextTo"/>
        <c:crossAx val="2325240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'[Gráfico 2014 min defensa.xlsx]Hoja1'!$B$26</c:f>
              <c:strCache>
                <c:ptCount val="1"/>
                <c:pt idx="0">
                  <c:v>Año 2012</c:v>
                </c:pt>
              </c:strCache>
            </c:strRef>
          </c:tx>
          <c:spPr>
            <a:solidFill>
              <a:schemeClr val="accent1">
                <a:alpha val="85000"/>
              </a:schemeClr>
            </a:solidFill>
            <a:ln w="9525" cap="flat" cmpd="sng" algn="ctr">
              <a:solidFill>
                <a:schemeClr val="lt1">
                  <a:alpha val="50000"/>
                </a:schemeClr>
              </a:solidFill>
              <a:round/>
            </a:ln>
            <a:effectLst/>
          </c:spPr>
          <c:invertIfNegative val="0"/>
          <c:cat>
            <c:strRef>
              <c:f>'[Gráfico 2014 min defensa.xlsx]Hoja1'!$A$27:$A$38</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'[Gráfico 2014 min defensa.xlsx]Hoja1'!$B$27:$B$38</c:f>
              <c:numCache>
                <c:formatCode>General</c:formatCode>
                <c:ptCount val="12"/>
                <c:pt idx="0">
                  <c:v>100</c:v>
                </c:pt>
                <c:pt idx="1">
                  <c:v>106</c:v>
                </c:pt>
                <c:pt idx="2">
                  <c:v>77</c:v>
                </c:pt>
                <c:pt idx="3">
                  <c:v>96</c:v>
                </c:pt>
                <c:pt idx="4">
                  <c:v>105</c:v>
                </c:pt>
                <c:pt idx="5">
                  <c:v>93</c:v>
                </c:pt>
                <c:pt idx="6">
                  <c:v>90</c:v>
                </c:pt>
                <c:pt idx="7">
                  <c:v>101</c:v>
                </c:pt>
                <c:pt idx="8">
                  <c:v>84</c:v>
                </c:pt>
                <c:pt idx="9">
                  <c:v>91</c:v>
                </c:pt>
                <c:pt idx="10">
                  <c:v>97</c:v>
                </c:pt>
                <c:pt idx="11">
                  <c:v>100</c:v>
                </c:pt>
              </c:numCache>
            </c:numRef>
          </c:val>
        </c:ser>
        <c:ser>
          <c:idx val="1"/>
          <c:order val="1"/>
          <c:tx>
            <c:strRef>
              <c:f>'[Gráfico 2014 min defensa.xlsx]Hoja1'!$C$26</c:f>
              <c:strCache>
                <c:ptCount val="1"/>
                <c:pt idx="0">
                  <c:v>Año 2013</c:v>
                </c:pt>
              </c:strCache>
            </c:strRef>
          </c:tx>
          <c:spPr>
            <a:solidFill>
              <a:schemeClr val="accent3">
                <a:alpha val="85000"/>
              </a:schemeClr>
            </a:solidFill>
            <a:ln w="9525" cap="flat" cmpd="sng" algn="ctr">
              <a:solidFill>
                <a:schemeClr val="lt1">
                  <a:alpha val="50000"/>
                </a:schemeClr>
              </a:solidFill>
              <a:round/>
            </a:ln>
            <a:effectLst/>
          </c:spPr>
          <c:invertIfNegative val="0"/>
          <c:cat>
            <c:strRef>
              <c:f>'[Gráfico 2014 min defensa.xlsx]Hoja1'!$A$27:$A$38</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'[Gráfico 2014 min defensa.xlsx]Hoja1'!$C$27:$C$38</c:f>
              <c:numCache>
                <c:formatCode>General</c:formatCode>
                <c:ptCount val="12"/>
                <c:pt idx="0">
                  <c:v>78</c:v>
                </c:pt>
                <c:pt idx="1">
                  <c:v>123</c:v>
                </c:pt>
                <c:pt idx="2">
                  <c:v>101</c:v>
                </c:pt>
                <c:pt idx="3">
                  <c:v>133</c:v>
                </c:pt>
                <c:pt idx="4">
                  <c:v>125</c:v>
                </c:pt>
                <c:pt idx="5">
                  <c:v>83</c:v>
                </c:pt>
                <c:pt idx="6">
                  <c:v>154</c:v>
                </c:pt>
                <c:pt idx="7">
                  <c:v>120</c:v>
                </c:pt>
                <c:pt idx="8">
                  <c:v>91</c:v>
                </c:pt>
                <c:pt idx="9">
                  <c:v>110</c:v>
                </c:pt>
                <c:pt idx="10">
                  <c:v>126</c:v>
                </c:pt>
                <c:pt idx="11">
                  <c:v>104</c:v>
                </c:pt>
              </c:numCache>
            </c:numRef>
          </c:val>
        </c:ser>
        <c:ser>
          <c:idx val="2"/>
          <c:order val="2"/>
          <c:tx>
            <c:strRef>
              <c:f>'[Gráfico 2014 min defensa.xlsx]Hoja1'!$D$26</c:f>
              <c:strCache>
                <c:ptCount val="1"/>
                <c:pt idx="0">
                  <c:v>Año 2014</c:v>
                </c:pt>
              </c:strCache>
            </c:strRef>
          </c:tx>
          <c:spPr>
            <a:solidFill>
              <a:schemeClr val="accent5">
                <a:alpha val="85000"/>
              </a:schemeClr>
            </a:solidFill>
            <a:ln w="9525" cap="flat" cmpd="sng" algn="ctr">
              <a:solidFill>
                <a:schemeClr val="lt1">
                  <a:alpha val="50000"/>
                </a:schemeClr>
              </a:solidFill>
              <a:round/>
            </a:ln>
            <a:effectLst/>
          </c:spPr>
          <c:invertIfNegative val="0"/>
          <c:cat>
            <c:strRef>
              <c:f>'[Gráfico 2014 min defensa.xlsx]Hoja1'!$A$27:$A$38</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'[Gráfico 2014 min defensa.xlsx]Hoja1'!$D$27:$D$38</c:f>
              <c:numCache>
                <c:formatCode>General</c:formatCode>
                <c:ptCount val="12"/>
                <c:pt idx="0">
                  <c:v>114</c:v>
                </c:pt>
                <c:pt idx="1">
                  <c:v>113</c:v>
                </c:pt>
                <c:pt idx="2">
                  <c:v>124</c:v>
                </c:pt>
                <c:pt idx="3">
                  <c:v>85</c:v>
                </c:pt>
                <c:pt idx="4">
                  <c:v>117</c:v>
                </c:pt>
                <c:pt idx="5">
                  <c:v>110</c:v>
                </c:pt>
                <c:pt idx="6">
                  <c:v>104</c:v>
                </c:pt>
                <c:pt idx="7">
                  <c:v>136</c:v>
                </c:pt>
                <c:pt idx="8">
                  <c:v>107</c:v>
                </c:pt>
                <c:pt idx="9">
                  <c:v>118</c:v>
                </c:pt>
                <c:pt idx="10">
                  <c:v>112</c:v>
                </c:pt>
                <c:pt idx="11">
                  <c:v>109</c:v>
                </c:pt>
              </c:numCache>
            </c:numRef>
          </c:val>
        </c:ser>
        <c:dLbls>
          <c:showLegendKey val="0"/>
          <c:showVal val="0"/>
          <c:showCatName val="0"/>
          <c:showSerName val="0"/>
          <c:showPercent val="0"/>
          <c:showBubbleSize val="0"/>
        </c:dLbls>
        <c:gapWidth val="150"/>
        <c:axId val="232557184"/>
        <c:axId val="232579456"/>
      </c:barChart>
      <c:catAx>
        <c:axId val="2325571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32579456"/>
        <c:crosses val="autoZero"/>
        <c:auto val="1"/>
        <c:lblAlgn val="ctr"/>
        <c:lblOffset val="100"/>
        <c:noMultiLvlLbl val="0"/>
      </c:catAx>
      <c:valAx>
        <c:axId val="232579456"/>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232557184"/>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800" b="0" i="0" u="none" strike="noStrike" kern="1200" baseline="0">
                <a:solidFill>
                  <a:schemeClr val="dk1">
                    <a:lumMod val="75000"/>
                    <a:lumOff val="25000"/>
                  </a:schemeClr>
                </a:solidFill>
                <a:latin typeface="+mn-lt"/>
                <a:ea typeface="+mn-ea"/>
                <a:cs typeface="+mn-cs"/>
              </a:defRPr>
            </a:pPr>
            <a:endParaRPr lang="es-CO"/>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Hoja1!$A$150</c:f>
              <c:strCache>
                <c:ptCount val="1"/>
                <c:pt idx="0">
                  <c:v>Historico Nacional</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Hoja1!$A$152:$A$163</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Hoja1!$B$152:$B$163</c:f>
              <c:numCache>
                <c:formatCode>General</c:formatCode>
                <c:ptCount val="12"/>
                <c:pt idx="0">
                  <c:v>7385</c:v>
                </c:pt>
                <c:pt idx="1">
                  <c:v>6271</c:v>
                </c:pt>
                <c:pt idx="2">
                  <c:v>5137</c:v>
                </c:pt>
                <c:pt idx="3">
                  <c:v>4927</c:v>
                </c:pt>
                <c:pt idx="4">
                  <c:v>3366</c:v>
                </c:pt>
                <c:pt idx="5">
                  <c:v>2483</c:v>
                </c:pt>
                <c:pt idx="6">
                  <c:v>2252</c:v>
                </c:pt>
                <c:pt idx="7">
                  <c:v>1785</c:v>
                </c:pt>
                <c:pt idx="8">
                  <c:v>1938</c:v>
                </c:pt>
                <c:pt idx="9">
                  <c:v>3133</c:v>
                </c:pt>
                <c:pt idx="10">
                  <c:v>2611</c:v>
                </c:pt>
                <c:pt idx="11">
                  <c:v>2873</c:v>
                </c:pt>
              </c:numCache>
            </c:numRef>
          </c:val>
        </c:ser>
        <c:dLbls>
          <c:dLblPos val="inEnd"/>
          <c:showLegendKey val="0"/>
          <c:showVal val="1"/>
          <c:showCatName val="0"/>
          <c:showSerName val="0"/>
          <c:showPercent val="0"/>
          <c:showBubbleSize val="0"/>
        </c:dLbls>
        <c:gapWidth val="65"/>
        <c:axId val="232333696"/>
        <c:axId val="232336384"/>
      </c:barChart>
      <c:catAx>
        <c:axId val="2323336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32336384"/>
        <c:crosses val="autoZero"/>
        <c:auto val="1"/>
        <c:lblAlgn val="ctr"/>
        <c:lblOffset val="100"/>
        <c:noMultiLvlLbl val="0"/>
      </c:catAx>
      <c:valAx>
        <c:axId val="2323363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3233369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Hoja1!$A$216:$A$227</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Hoja1!$B$216:$B$227</c:f>
              <c:numCache>
                <c:formatCode>General</c:formatCode>
                <c:ptCount val="12"/>
                <c:pt idx="0">
                  <c:v>1966</c:v>
                </c:pt>
                <c:pt idx="1">
                  <c:v>1966</c:v>
                </c:pt>
                <c:pt idx="2">
                  <c:v>1870</c:v>
                </c:pt>
                <c:pt idx="3">
                  <c:v>2165</c:v>
                </c:pt>
                <c:pt idx="4">
                  <c:v>2067</c:v>
                </c:pt>
                <c:pt idx="5">
                  <c:v>1184</c:v>
                </c:pt>
                <c:pt idx="6">
                  <c:v>584</c:v>
                </c:pt>
                <c:pt idx="7">
                  <c:v>507</c:v>
                </c:pt>
                <c:pt idx="8">
                  <c:v>510</c:v>
                </c:pt>
                <c:pt idx="9">
                  <c:v>419</c:v>
                </c:pt>
                <c:pt idx="10">
                  <c:v>341</c:v>
                </c:pt>
                <c:pt idx="11">
                  <c:v>296</c:v>
                </c:pt>
              </c:numCache>
            </c:numRef>
          </c:val>
        </c:ser>
        <c:dLbls>
          <c:dLblPos val="inEnd"/>
          <c:showLegendKey val="0"/>
          <c:showVal val="1"/>
          <c:showCatName val="0"/>
          <c:showSerName val="0"/>
          <c:showPercent val="0"/>
          <c:showBubbleSize val="0"/>
        </c:dLbls>
        <c:gapWidth val="41"/>
        <c:axId val="232412672"/>
        <c:axId val="232759680"/>
      </c:barChart>
      <c:catAx>
        <c:axId val="232412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CO"/>
          </a:p>
        </c:txPr>
        <c:crossAx val="232759680"/>
        <c:crosses val="autoZero"/>
        <c:auto val="1"/>
        <c:lblAlgn val="ctr"/>
        <c:lblOffset val="100"/>
        <c:noMultiLvlLbl val="0"/>
      </c:catAx>
      <c:valAx>
        <c:axId val="232759680"/>
        <c:scaling>
          <c:orientation val="minMax"/>
        </c:scaling>
        <c:delete val="1"/>
        <c:axPos val="l"/>
        <c:numFmt formatCode="General" sourceLinked="1"/>
        <c:majorTickMark val="none"/>
        <c:minorTickMark val="none"/>
        <c:tickLblPos val="nextTo"/>
        <c:crossAx val="23241267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Hoja1!$A$275</c:f>
              <c:strCache>
                <c:ptCount val="1"/>
                <c:pt idx="0">
                  <c:v>Historico Nacional</c:v>
                </c:pt>
              </c:strCache>
            </c:strRef>
          </c:tx>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Hoja1!$A$277:$A$288</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Hoja1!$B$277:$B$288</c:f>
              <c:numCache>
                <c:formatCode>General</c:formatCode>
                <c:ptCount val="12"/>
                <c:pt idx="0">
                  <c:v>597</c:v>
                </c:pt>
                <c:pt idx="1">
                  <c:v>590</c:v>
                </c:pt>
                <c:pt idx="2">
                  <c:v>717</c:v>
                </c:pt>
                <c:pt idx="3">
                  <c:v>594</c:v>
                </c:pt>
                <c:pt idx="4">
                  <c:v>457</c:v>
                </c:pt>
                <c:pt idx="5">
                  <c:v>373</c:v>
                </c:pt>
                <c:pt idx="6">
                  <c:v>468</c:v>
                </c:pt>
                <c:pt idx="7">
                  <c:v>488</c:v>
                </c:pt>
                <c:pt idx="8">
                  <c:v>482</c:v>
                </c:pt>
                <c:pt idx="9">
                  <c:v>377</c:v>
                </c:pt>
                <c:pt idx="10">
                  <c:v>361</c:v>
                </c:pt>
                <c:pt idx="11">
                  <c:v>289</c:v>
                </c:pt>
              </c:numCache>
            </c:numRef>
          </c:val>
        </c:ser>
        <c:dLbls>
          <c:dLblPos val="inEnd"/>
          <c:showLegendKey val="0"/>
          <c:showVal val="1"/>
          <c:showCatName val="0"/>
          <c:showSerName val="0"/>
          <c:showPercent val="0"/>
          <c:showBubbleSize val="0"/>
        </c:dLbls>
        <c:gapWidth val="41"/>
        <c:axId val="232757888"/>
        <c:axId val="232969728"/>
      </c:barChart>
      <c:catAx>
        <c:axId val="232757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CO"/>
          </a:p>
        </c:txPr>
        <c:crossAx val="232969728"/>
        <c:crosses val="autoZero"/>
        <c:auto val="1"/>
        <c:lblAlgn val="ctr"/>
        <c:lblOffset val="100"/>
        <c:noMultiLvlLbl val="0"/>
      </c:catAx>
      <c:valAx>
        <c:axId val="232969728"/>
        <c:scaling>
          <c:orientation val="minMax"/>
        </c:scaling>
        <c:delete val="1"/>
        <c:axPos val="l"/>
        <c:numFmt formatCode="General" sourceLinked="1"/>
        <c:majorTickMark val="none"/>
        <c:minorTickMark val="none"/>
        <c:tickLblPos val="nextTo"/>
        <c:crossAx val="23275788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Hoja1!$B$297</c:f>
              <c:strCache>
                <c:ptCount val="1"/>
                <c:pt idx="0">
                  <c:v>Año 2012</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Hoja1!$A$298:$A$309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Hoja1!$B$298:$B$309</c:f>
              <c:numCache>
                <c:formatCode>General</c:formatCode>
                <c:ptCount val="12"/>
                <c:pt idx="0">
                  <c:v>40</c:v>
                </c:pt>
                <c:pt idx="1">
                  <c:v>40</c:v>
                </c:pt>
                <c:pt idx="2">
                  <c:v>39</c:v>
                </c:pt>
                <c:pt idx="3">
                  <c:v>45</c:v>
                </c:pt>
                <c:pt idx="4">
                  <c:v>46</c:v>
                </c:pt>
                <c:pt idx="5">
                  <c:v>22</c:v>
                </c:pt>
                <c:pt idx="6">
                  <c:v>32</c:v>
                </c:pt>
                <c:pt idx="7">
                  <c:v>25</c:v>
                </c:pt>
                <c:pt idx="8">
                  <c:v>22</c:v>
                </c:pt>
                <c:pt idx="9">
                  <c:v>32</c:v>
                </c:pt>
                <c:pt idx="10">
                  <c:v>30</c:v>
                </c:pt>
                <c:pt idx="11">
                  <c:v>4</c:v>
                </c:pt>
              </c:numCache>
            </c:numRef>
          </c:val>
        </c:ser>
        <c:ser>
          <c:idx val="1"/>
          <c:order val="1"/>
          <c:tx>
            <c:strRef>
              <c:f>Hoja1!$C$297</c:f>
              <c:strCache>
                <c:ptCount val="1"/>
                <c:pt idx="0">
                  <c:v>Año 2013</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Hoja1!$A$298:$A$309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Hoja1!$C$298:$C$309</c:f>
              <c:numCache>
                <c:formatCode>General</c:formatCode>
                <c:ptCount val="12"/>
                <c:pt idx="0">
                  <c:v>21</c:v>
                </c:pt>
                <c:pt idx="1">
                  <c:v>44</c:v>
                </c:pt>
                <c:pt idx="2">
                  <c:v>35</c:v>
                </c:pt>
                <c:pt idx="3">
                  <c:v>30</c:v>
                </c:pt>
                <c:pt idx="4">
                  <c:v>39</c:v>
                </c:pt>
                <c:pt idx="5">
                  <c:v>19</c:v>
                </c:pt>
                <c:pt idx="6">
                  <c:v>38</c:v>
                </c:pt>
                <c:pt idx="7">
                  <c:v>42</c:v>
                </c:pt>
                <c:pt idx="8">
                  <c:v>20</c:v>
                </c:pt>
                <c:pt idx="9">
                  <c:v>30</c:v>
                </c:pt>
                <c:pt idx="10">
                  <c:v>19</c:v>
                </c:pt>
                <c:pt idx="11">
                  <c:v>18</c:v>
                </c:pt>
              </c:numCache>
            </c:numRef>
          </c:val>
        </c:ser>
        <c:ser>
          <c:idx val="2"/>
          <c:order val="2"/>
          <c:tx>
            <c:strRef>
              <c:f>Hoja1!$D$297</c:f>
              <c:strCache>
                <c:ptCount val="1"/>
                <c:pt idx="0">
                  <c:v>Año 2014</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Hoja1!$A$298:$A$309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Hoja1!$D$298:$D$309</c:f>
              <c:numCache>
                <c:formatCode>General</c:formatCode>
                <c:ptCount val="12"/>
                <c:pt idx="0">
                  <c:v>19</c:v>
                </c:pt>
                <c:pt idx="1">
                  <c:v>31</c:v>
                </c:pt>
                <c:pt idx="2">
                  <c:v>31</c:v>
                </c:pt>
                <c:pt idx="3">
                  <c:v>35</c:v>
                </c:pt>
                <c:pt idx="4">
                  <c:v>18</c:v>
                </c:pt>
                <c:pt idx="5">
                  <c:v>21</c:v>
                </c:pt>
                <c:pt idx="6">
                  <c:v>21</c:v>
                </c:pt>
                <c:pt idx="7">
                  <c:v>22</c:v>
                </c:pt>
                <c:pt idx="8">
                  <c:v>20</c:v>
                </c:pt>
                <c:pt idx="9">
                  <c:v>18</c:v>
                </c:pt>
                <c:pt idx="10">
                  <c:v>21</c:v>
                </c:pt>
                <c:pt idx="11">
                  <c:v>32</c:v>
                </c:pt>
              </c:numCache>
            </c:numRef>
          </c:val>
        </c:ser>
        <c:dLbls>
          <c:dLblPos val="inEnd"/>
          <c:showLegendKey val="0"/>
          <c:showVal val="1"/>
          <c:showCatName val="0"/>
          <c:showSerName val="0"/>
          <c:showPercent val="0"/>
          <c:showBubbleSize val="0"/>
        </c:dLbls>
        <c:gapWidth val="65"/>
        <c:axId val="233184640"/>
        <c:axId val="233206912"/>
      </c:barChart>
      <c:catAx>
        <c:axId val="2331846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33206912"/>
        <c:crosses val="autoZero"/>
        <c:auto val="1"/>
        <c:lblAlgn val="ctr"/>
        <c:lblOffset val="100"/>
        <c:noMultiLvlLbl val="0"/>
      </c:catAx>
      <c:valAx>
        <c:axId val="2332069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331846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s-CO"/>
        </a:p>
      </c:txPr>
    </c:title>
    <c:autoTitleDeleted val="0"/>
    <c:plotArea>
      <c:layout/>
      <c:barChart>
        <c:barDir val="col"/>
        <c:grouping val="clustered"/>
        <c:varyColors val="0"/>
        <c:ser>
          <c:idx val="0"/>
          <c:order val="0"/>
          <c:tx>
            <c:strRef>
              <c:f>Hoja1!$A$342</c:f>
              <c:strCache>
                <c:ptCount val="1"/>
                <c:pt idx="0">
                  <c:v>Historico Nacional</c:v>
                </c:pt>
              </c:strCache>
            </c:strRef>
          </c:tx>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Hoja1!$A$344:$A$355</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Hoja1!$B$344:$B$355</c:f>
              <c:numCache>
                <c:formatCode>General</c:formatCode>
                <c:ptCount val="12"/>
                <c:pt idx="0">
                  <c:v>1853</c:v>
                </c:pt>
                <c:pt idx="1">
                  <c:v>1949</c:v>
                </c:pt>
                <c:pt idx="2">
                  <c:v>1635</c:v>
                </c:pt>
                <c:pt idx="3">
                  <c:v>1699</c:v>
                </c:pt>
                <c:pt idx="4">
                  <c:v>1801</c:v>
                </c:pt>
                <c:pt idx="5">
                  <c:v>1692</c:v>
                </c:pt>
                <c:pt idx="6">
                  <c:v>1852</c:v>
                </c:pt>
                <c:pt idx="7">
                  <c:v>2052</c:v>
                </c:pt>
                <c:pt idx="8">
                  <c:v>2089</c:v>
                </c:pt>
                <c:pt idx="9">
                  <c:v>2377</c:v>
                </c:pt>
                <c:pt idx="10">
                  <c:v>2609</c:v>
                </c:pt>
                <c:pt idx="11">
                  <c:v>2071</c:v>
                </c:pt>
              </c:numCache>
            </c:numRef>
          </c:val>
        </c:ser>
        <c:dLbls>
          <c:dLblPos val="inEnd"/>
          <c:showLegendKey val="0"/>
          <c:showVal val="1"/>
          <c:showCatName val="0"/>
          <c:showSerName val="0"/>
          <c:showPercent val="0"/>
          <c:showBubbleSize val="0"/>
        </c:dLbls>
        <c:gapWidth val="41"/>
        <c:axId val="233099264"/>
        <c:axId val="233101952"/>
      </c:barChart>
      <c:catAx>
        <c:axId val="2330992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CO"/>
          </a:p>
        </c:txPr>
        <c:crossAx val="233101952"/>
        <c:crosses val="autoZero"/>
        <c:auto val="1"/>
        <c:lblAlgn val="ctr"/>
        <c:lblOffset val="100"/>
        <c:noMultiLvlLbl val="0"/>
      </c:catAx>
      <c:valAx>
        <c:axId val="233101952"/>
        <c:scaling>
          <c:orientation val="minMax"/>
        </c:scaling>
        <c:delete val="1"/>
        <c:axPos val="l"/>
        <c:numFmt formatCode="General" sourceLinked="1"/>
        <c:majorTickMark val="none"/>
        <c:minorTickMark val="none"/>
        <c:tickLblPos val="nextTo"/>
        <c:crossAx val="23309926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Desplazamiento Forzado por Expulsión 2010 - 2014 </a:t>
            </a:r>
          </a:p>
        </c:rich>
      </c:tx>
      <c:overlay val="0"/>
      <c:spPr>
        <a:noFill/>
        <a:ln>
          <a:noFill/>
        </a:ln>
        <a:effectLst/>
      </c:spPr>
    </c:title>
    <c:autoTitleDeleted val="0"/>
    <c:plotArea>
      <c:layout/>
      <c:lineChart>
        <c:grouping val="standard"/>
        <c:varyColors val="0"/>
        <c:ser>
          <c:idx val="1"/>
          <c:order val="1"/>
          <c:tx>
            <c:strRef>
              <c:f>Hoja1!$F$4</c:f>
              <c:strCache>
                <c:ptCount val="1"/>
                <c:pt idx="0">
                  <c:v>Cauca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Hoja1!$G$2:$K$2</c:f>
              <c:numCache>
                <c:formatCode>General</c:formatCode>
                <c:ptCount val="5"/>
                <c:pt idx="0">
                  <c:v>2010</c:v>
                </c:pt>
                <c:pt idx="1">
                  <c:v>2011</c:v>
                </c:pt>
                <c:pt idx="2">
                  <c:v>2012</c:v>
                </c:pt>
                <c:pt idx="3">
                  <c:v>2013</c:v>
                </c:pt>
                <c:pt idx="4">
                  <c:v>2014</c:v>
                </c:pt>
              </c:numCache>
            </c:numRef>
          </c:cat>
          <c:val>
            <c:numRef>
              <c:f>Hoja1!$G$4:$K$4</c:f>
              <c:numCache>
                <c:formatCode>General</c:formatCode>
                <c:ptCount val="5"/>
                <c:pt idx="0">
                  <c:v>13790</c:v>
                </c:pt>
                <c:pt idx="1">
                  <c:v>25502</c:v>
                </c:pt>
                <c:pt idx="2">
                  <c:v>33548</c:v>
                </c:pt>
                <c:pt idx="3">
                  <c:v>27241</c:v>
                </c:pt>
                <c:pt idx="4">
                  <c:v>8771</c:v>
                </c:pt>
              </c:numCache>
            </c:numRef>
          </c:val>
          <c:smooth val="0"/>
        </c:ser>
        <c:ser>
          <c:idx val="2"/>
          <c:order val="2"/>
          <c:tx>
            <c:strRef>
              <c:f>Hoja1!$F$5</c:f>
              <c:strCache>
                <c:ptCount val="1"/>
                <c:pt idx="0">
                  <c:v>Caquetá</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Hoja1!$G$2:$K$2</c:f>
              <c:numCache>
                <c:formatCode>General</c:formatCode>
                <c:ptCount val="5"/>
                <c:pt idx="0">
                  <c:v>2010</c:v>
                </c:pt>
                <c:pt idx="1">
                  <c:v>2011</c:v>
                </c:pt>
                <c:pt idx="2">
                  <c:v>2012</c:v>
                </c:pt>
                <c:pt idx="3">
                  <c:v>2013</c:v>
                </c:pt>
                <c:pt idx="4">
                  <c:v>2014</c:v>
                </c:pt>
              </c:numCache>
            </c:numRef>
          </c:cat>
          <c:val>
            <c:numRef>
              <c:f>Hoja1!$G$5:$K$5</c:f>
              <c:numCache>
                <c:formatCode>General</c:formatCode>
                <c:ptCount val="5"/>
                <c:pt idx="0">
                  <c:v>12731</c:v>
                </c:pt>
                <c:pt idx="1">
                  <c:v>12716</c:v>
                </c:pt>
                <c:pt idx="2">
                  <c:v>12267</c:v>
                </c:pt>
                <c:pt idx="3">
                  <c:v>12083</c:v>
                </c:pt>
                <c:pt idx="4">
                  <c:v>4574</c:v>
                </c:pt>
              </c:numCache>
            </c:numRef>
          </c:val>
          <c:smooth val="0"/>
        </c:ser>
        <c:ser>
          <c:idx val="3"/>
          <c:order val="3"/>
          <c:tx>
            <c:strRef>
              <c:f>Hoja1!$F$6</c:f>
              <c:strCache>
                <c:ptCount val="1"/>
                <c:pt idx="0">
                  <c:v>Norte de Santander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Hoja1!$G$2:$K$2</c:f>
              <c:numCache>
                <c:formatCode>General</c:formatCode>
                <c:ptCount val="5"/>
                <c:pt idx="0">
                  <c:v>2010</c:v>
                </c:pt>
                <c:pt idx="1">
                  <c:v>2011</c:v>
                </c:pt>
                <c:pt idx="2">
                  <c:v>2012</c:v>
                </c:pt>
                <c:pt idx="3">
                  <c:v>2013</c:v>
                </c:pt>
                <c:pt idx="4">
                  <c:v>2014</c:v>
                </c:pt>
              </c:numCache>
            </c:numRef>
          </c:cat>
          <c:val>
            <c:numRef>
              <c:f>Hoja1!$G$6:$K$6</c:f>
              <c:numCache>
                <c:formatCode>General</c:formatCode>
                <c:ptCount val="5"/>
                <c:pt idx="0">
                  <c:v>3935</c:v>
                </c:pt>
                <c:pt idx="1">
                  <c:v>4740</c:v>
                </c:pt>
                <c:pt idx="2">
                  <c:v>7091</c:v>
                </c:pt>
                <c:pt idx="3">
                  <c:v>6983</c:v>
                </c:pt>
                <c:pt idx="4">
                  <c:v>3079</c:v>
                </c:pt>
              </c:numCache>
            </c:numRef>
          </c:val>
          <c:smooth val="0"/>
        </c:ser>
        <c:dLbls>
          <c:showLegendKey val="0"/>
          <c:showVal val="0"/>
          <c:showCatName val="0"/>
          <c:showSerName val="0"/>
          <c:showPercent val="0"/>
          <c:showBubbleSize val="0"/>
        </c:dLbls>
        <c:marker val="1"/>
        <c:smooth val="0"/>
        <c:axId val="69789184"/>
        <c:axId val="69791104"/>
      </c:lineChart>
      <c:lineChart>
        <c:grouping val="standard"/>
        <c:varyColors val="0"/>
        <c:ser>
          <c:idx val="0"/>
          <c:order val="0"/>
          <c:tx>
            <c:strRef>
              <c:f>Hoja1!$F$3</c:f>
              <c:strCache>
                <c:ptCount val="1"/>
                <c:pt idx="0">
                  <c:v>Nacional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Hoja1!$G$2:$K$2</c:f>
              <c:numCache>
                <c:formatCode>General</c:formatCode>
                <c:ptCount val="5"/>
                <c:pt idx="0">
                  <c:v>2010</c:v>
                </c:pt>
                <c:pt idx="1">
                  <c:v>2011</c:v>
                </c:pt>
                <c:pt idx="2">
                  <c:v>2012</c:v>
                </c:pt>
                <c:pt idx="3">
                  <c:v>2013</c:v>
                </c:pt>
                <c:pt idx="4">
                  <c:v>2014</c:v>
                </c:pt>
              </c:numCache>
            </c:numRef>
          </c:cat>
          <c:val>
            <c:numRef>
              <c:f>Hoja1!$G$3:$K$3</c:f>
              <c:numCache>
                <c:formatCode>General</c:formatCode>
                <c:ptCount val="5"/>
                <c:pt idx="0">
                  <c:v>187778</c:v>
                </c:pt>
                <c:pt idx="1">
                  <c:v>243408</c:v>
                </c:pt>
                <c:pt idx="2">
                  <c:v>240474</c:v>
                </c:pt>
                <c:pt idx="3">
                  <c:v>228526</c:v>
                </c:pt>
                <c:pt idx="4">
                  <c:v>97453</c:v>
                </c:pt>
              </c:numCache>
            </c:numRef>
          </c:val>
          <c:smooth val="0"/>
        </c:ser>
        <c:dLbls>
          <c:showLegendKey val="0"/>
          <c:showVal val="0"/>
          <c:showCatName val="0"/>
          <c:showSerName val="0"/>
          <c:showPercent val="0"/>
          <c:showBubbleSize val="0"/>
        </c:dLbls>
        <c:marker val="1"/>
        <c:smooth val="0"/>
        <c:axId val="233545088"/>
        <c:axId val="233543168"/>
      </c:lineChart>
      <c:catAx>
        <c:axId val="6978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9791104"/>
        <c:crosses val="autoZero"/>
        <c:auto val="1"/>
        <c:lblAlgn val="ctr"/>
        <c:lblOffset val="100"/>
        <c:noMultiLvlLbl val="0"/>
      </c:catAx>
      <c:valAx>
        <c:axId val="6979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Departamental</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9789184"/>
        <c:crosses val="autoZero"/>
        <c:crossBetween val="between"/>
      </c:valAx>
      <c:valAx>
        <c:axId val="23354316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 Nacional</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33545088"/>
        <c:crosses val="max"/>
        <c:crossBetween val="between"/>
      </c:valAx>
      <c:catAx>
        <c:axId val="233545088"/>
        <c:scaling>
          <c:orientation val="minMax"/>
        </c:scaling>
        <c:delete val="1"/>
        <c:axPos val="b"/>
        <c:numFmt formatCode="General" sourceLinked="1"/>
        <c:majorTickMark val="out"/>
        <c:minorTickMark val="none"/>
        <c:tickLblPos val="nextTo"/>
        <c:crossAx val="2335431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Hoja2!$B$3:$B$7</c:f>
              <c:numCache>
                <c:formatCode>General</c:formatCode>
                <c:ptCount val="5"/>
                <c:pt idx="0">
                  <c:v>1</c:v>
                </c:pt>
                <c:pt idx="1">
                  <c:v>2</c:v>
                </c:pt>
                <c:pt idx="2">
                  <c:v>3</c:v>
                </c:pt>
                <c:pt idx="3">
                  <c:v>4</c:v>
                </c:pt>
                <c:pt idx="4">
                  <c:v>5</c:v>
                </c:pt>
              </c:numCache>
            </c:numRef>
          </c:cat>
          <c:val>
            <c:numRef>
              <c:f>Hoja2!$C$3:$C$7</c:f>
              <c:numCache>
                <c:formatCode>0%</c:formatCode>
                <c:ptCount val="5"/>
                <c:pt idx="0">
                  <c:v>0.9</c:v>
                </c:pt>
                <c:pt idx="1">
                  <c:v>0.95</c:v>
                </c:pt>
                <c:pt idx="2">
                  <c:v>1</c:v>
                </c:pt>
                <c:pt idx="3">
                  <c:v>0.97</c:v>
                </c:pt>
                <c:pt idx="4">
                  <c:v>1</c:v>
                </c:pt>
              </c:numCache>
            </c:numRef>
          </c:val>
        </c:ser>
        <c:dLbls>
          <c:showLegendKey val="0"/>
          <c:showVal val="0"/>
          <c:showCatName val="0"/>
          <c:showSerName val="0"/>
          <c:showPercent val="0"/>
          <c:showBubbleSize val="0"/>
        </c:dLbls>
        <c:gapWidth val="115"/>
        <c:overlap val="-20"/>
        <c:axId val="72220672"/>
        <c:axId val="72222208"/>
      </c:barChart>
      <c:catAx>
        <c:axId val="7222067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222208"/>
        <c:crosses val="autoZero"/>
        <c:auto val="1"/>
        <c:lblAlgn val="ctr"/>
        <c:lblOffset val="100"/>
        <c:noMultiLvlLbl val="0"/>
      </c:catAx>
      <c:valAx>
        <c:axId val="722222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2220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'2014'!$C$8</c:f>
              <c:strCache>
                <c:ptCount val="1"/>
                <c:pt idx="0">
                  <c:v>BCJB</c:v>
                </c:pt>
              </c:strCache>
            </c:strRef>
          </c:tx>
          <c:spPr>
            <a:solidFill>
              <a:schemeClr val="accent1"/>
            </a:solidFill>
            <a:ln>
              <a:noFill/>
            </a:ln>
            <a:effectLst/>
          </c:spPr>
          <c:invertIfNegative val="0"/>
          <c:cat>
            <c:strRef>
              <c:f>'2014'!$D$7:$O$7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'2014'!$D$8:$O$8</c:f>
              <c:numCache>
                <c:formatCode>General</c:formatCode>
                <c:ptCount val="12"/>
                <c:pt idx="0">
                  <c:v>33</c:v>
                </c:pt>
                <c:pt idx="1">
                  <c:v>45</c:v>
                </c:pt>
                <c:pt idx="2">
                  <c:v>16</c:v>
                </c:pt>
                <c:pt idx="3">
                  <c:v>7</c:v>
                </c:pt>
                <c:pt idx="4">
                  <c:v>10</c:v>
                </c:pt>
                <c:pt idx="5">
                  <c:v>1</c:v>
                </c:pt>
                <c:pt idx="6">
                  <c:v>19</c:v>
                </c:pt>
                <c:pt idx="7">
                  <c:v>75</c:v>
                </c:pt>
                <c:pt idx="8">
                  <c:v>15</c:v>
                </c:pt>
                <c:pt idx="9">
                  <c:v>10</c:v>
                </c:pt>
                <c:pt idx="10">
                  <c:v>23</c:v>
                </c:pt>
                <c:pt idx="11">
                  <c:v>25</c:v>
                </c:pt>
              </c:numCache>
            </c:numRef>
          </c:val>
        </c:ser>
        <c:ser>
          <c:idx val="1"/>
          <c:order val="1"/>
          <c:tx>
            <c:strRef>
              <c:f>'2014'!$C$9</c:f>
              <c:strCache>
                <c:ptCount val="1"/>
                <c:pt idx="0">
                  <c:v>BCAC</c:v>
                </c:pt>
              </c:strCache>
            </c:strRef>
          </c:tx>
          <c:spPr>
            <a:solidFill>
              <a:schemeClr val="accent2"/>
            </a:solidFill>
            <a:ln>
              <a:noFill/>
            </a:ln>
            <a:effectLst/>
          </c:spPr>
          <c:invertIfNegative val="0"/>
          <c:cat>
            <c:strRef>
              <c:f>'2014'!$D$7:$O$7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'2014'!$D$9:$O$9</c:f>
              <c:numCache>
                <c:formatCode>General</c:formatCode>
                <c:ptCount val="12"/>
                <c:pt idx="0">
                  <c:v>35</c:v>
                </c:pt>
                <c:pt idx="1">
                  <c:v>51</c:v>
                </c:pt>
                <c:pt idx="2">
                  <c:v>73</c:v>
                </c:pt>
                <c:pt idx="3">
                  <c:v>12</c:v>
                </c:pt>
                <c:pt idx="5">
                  <c:v>43</c:v>
                </c:pt>
                <c:pt idx="6">
                  <c:v>19</c:v>
                </c:pt>
                <c:pt idx="7">
                  <c:v>62</c:v>
                </c:pt>
                <c:pt idx="8">
                  <c:v>62</c:v>
                </c:pt>
                <c:pt idx="9">
                  <c:v>25</c:v>
                </c:pt>
                <c:pt idx="10">
                  <c:v>30</c:v>
                </c:pt>
                <c:pt idx="11">
                  <c:v>18</c:v>
                </c:pt>
              </c:numCache>
            </c:numRef>
          </c:val>
        </c:ser>
        <c:ser>
          <c:idx val="2"/>
          <c:order val="2"/>
          <c:tx>
            <c:strRef>
              <c:f>'2014'!$C$10</c:f>
              <c:strCache>
                <c:ptCount val="1"/>
                <c:pt idx="0">
                  <c:v>CCC</c:v>
                </c:pt>
              </c:strCache>
            </c:strRef>
          </c:tx>
          <c:spPr>
            <a:solidFill>
              <a:schemeClr val="accent3"/>
            </a:solidFill>
            <a:ln>
              <a:noFill/>
            </a:ln>
            <a:effectLst/>
          </c:spPr>
          <c:invertIfNegative val="0"/>
          <c:cat>
            <c:strRef>
              <c:f>'2014'!$D$7:$O$7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'2014'!$D$10:$O$10</c:f>
              <c:numCache>
                <c:formatCode>General</c:formatCode>
                <c:ptCount val="12"/>
                <c:pt idx="0">
                  <c:v>2</c:v>
                </c:pt>
                <c:pt idx="3">
                  <c:v>11</c:v>
                </c:pt>
                <c:pt idx="4">
                  <c:v>1</c:v>
                </c:pt>
                <c:pt idx="5">
                  <c:v>1</c:v>
                </c:pt>
                <c:pt idx="6">
                  <c:v>1</c:v>
                </c:pt>
                <c:pt idx="7">
                  <c:v>10</c:v>
                </c:pt>
                <c:pt idx="8">
                  <c:v>8</c:v>
                </c:pt>
                <c:pt idx="9">
                  <c:v>5</c:v>
                </c:pt>
                <c:pt idx="10">
                  <c:v>16</c:v>
                </c:pt>
                <c:pt idx="11">
                  <c:v>1</c:v>
                </c:pt>
              </c:numCache>
            </c:numRef>
          </c:val>
        </c:ser>
        <c:ser>
          <c:idx val="3"/>
          <c:order val="3"/>
          <c:tx>
            <c:strRef>
              <c:f>'2014'!$C$11</c:f>
              <c:strCache>
                <c:ptCount val="1"/>
                <c:pt idx="0">
                  <c:v>BMM</c:v>
                </c:pt>
              </c:strCache>
            </c:strRef>
          </c:tx>
          <c:spPr>
            <a:solidFill>
              <a:schemeClr val="accent4"/>
            </a:solidFill>
            <a:ln>
              <a:noFill/>
            </a:ln>
            <a:effectLst/>
          </c:spPr>
          <c:invertIfNegative val="0"/>
          <c:cat>
            <c:strRef>
              <c:f>'2014'!$D$7:$O$7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'2014'!$D$11:$O$11</c:f>
              <c:numCache>
                <c:formatCode>General</c:formatCode>
                <c:ptCount val="12"/>
                <c:pt idx="1">
                  <c:v>14</c:v>
                </c:pt>
                <c:pt idx="2">
                  <c:v>4</c:v>
                </c:pt>
                <c:pt idx="3">
                  <c:v>1</c:v>
                </c:pt>
                <c:pt idx="5">
                  <c:v>15</c:v>
                </c:pt>
                <c:pt idx="6">
                  <c:v>17</c:v>
                </c:pt>
                <c:pt idx="7">
                  <c:v>25</c:v>
                </c:pt>
                <c:pt idx="8">
                  <c:v>15</c:v>
                </c:pt>
                <c:pt idx="9">
                  <c:v>6</c:v>
                </c:pt>
                <c:pt idx="10">
                  <c:v>2</c:v>
                </c:pt>
                <c:pt idx="11">
                  <c:v>8</c:v>
                </c:pt>
              </c:numCache>
            </c:numRef>
          </c:val>
        </c:ser>
        <c:ser>
          <c:idx val="4"/>
          <c:order val="4"/>
          <c:tx>
            <c:strRef>
              <c:f>'2014'!$C$12</c:f>
              <c:strCache>
                <c:ptCount val="1"/>
                <c:pt idx="0">
                  <c:v>BMC</c:v>
                </c:pt>
              </c:strCache>
            </c:strRef>
          </c:tx>
          <c:spPr>
            <a:solidFill>
              <a:schemeClr val="accent5"/>
            </a:solidFill>
            <a:ln>
              <a:noFill/>
            </a:ln>
            <a:effectLst/>
          </c:spPr>
          <c:invertIfNegative val="0"/>
          <c:cat>
            <c:strRef>
              <c:f>'2014'!$D$7:$O$7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'2014'!$D$12:$O$12</c:f>
              <c:numCache>
                <c:formatCode>General</c:formatCode>
                <c:ptCount val="12"/>
                <c:pt idx="7">
                  <c:v>2</c:v>
                </c:pt>
                <c:pt idx="10">
                  <c:v>4</c:v>
                </c:pt>
              </c:numCache>
            </c:numRef>
          </c:val>
        </c:ser>
        <c:ser>
          <c:idx val="5"/>
          <c:order val="5"/>
          <c:tx>
            <c:strRef>
              <c:f>'2014'!$C$13</c:f>
              <c:strCache>
                <c:ptCount val="1"/>
                <c:pt idx="0">
                  <c:v>BCIR</c:v>
                </c:pt>
              </c:strCache>
            </c:strRef>
          </c:tx>
          <c:spPr>
            <a:solidFill>
              <a:schemeClr val="accent6"/>
            </a:solidFill>
            <a:ln>
              <a:noFill/>
            </a:ln>
            <a:effectLst/>
          </c:spPr>
          <c:invertIfNegative val="0"/>
          <c:cat>
            <c:strRef>
              <c:f>'2014'!$D$7:$O$7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'2014'!$D$13:$O$13</c:f>
              <c:numCache>
                <c:formatCode>General</c:formatCode>
                <c:ptCount val="12"/>
                <c:pt idx="0">
                  <c:v>7</c:v>
                </c:pt>
                <c:pt idx="1">
                  <c:v>3</c:v>
                </c:pt>
                <c:pt idx="4">
                  <c:v>2</c:v>
                </c:pt>
                <c:pt idx="6">
                  <c:v>37</c:v>
                </c:pt>
                <c:pt idx="7">
                  <c:v>10</c:v>
                </c:pt>
                <c:pt idx="8">
                  <c:v>24</c:v>
                </c:pt>
                <c:pt idx="9">
                  <c:v>7</c:v>
                </c:pt>
                <c:pt idx="10">
                  <c:v>11</c:v>
                </c:pt>
              </c:numCache>
            </c:numRef>
          </c:val>
        </c:ser>
        <c:ser>
          <c:idx val="6"/>
          <c:order val="6"/>
          <c:tx>
            <c:strRef>
              <c:f>'2014'!$C$14</c:f>
              <c:strCache>
                <c:ptCount val="1"/>
                <c:pt idx="0">
                  <c:v>BS</c:v>
                </c:pt>
              </c:strCache>
            </c:strRef>
          </c:tx>
          <c:spPr>
            <a:solidFill>
              <a:schemeClr val="accent1">
                <a:lumMod val="60000"/>
              </a:schemeClr>
            </a:solidFill>
            <a:ln>
              <a:noFill/>
            </a:ln>
            <a:effectLst/>
          </c:spPr>
          <c:invertIfNegative val="0"/>
          <c:cat>
            <c:strRef>
              <c:f>'2014'!$D$7:$O$7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'2014'!$D$14:$O$14</c:f>
              <c:numCache>
                <c:formatCode>General</c:formatCode>
                <c:ptCount val="12"/>
                <c:pt idx="0">
                  <c:v>28</c:v>
                </c:pt>
                <c:pt idx="1">
                  <c:v>9</c:v>
                </c:pt>
                <c:pt idx="2">
                  <c:v>1</c:v>
                </c:pt>
                <c:pt idx="3">
                  <c:v>8</c:v>
                </c:pt>
                <c:pt idx="4">
                  <c:v>8</c:v>
                </c:pt>
                <c:pt idx="5">
                  <c:v>3</c:v>
                </c:pt>
                <c:pt idx="6">
                  <c:v>62</c:v>
                </c:pt>
                <c:pt idx="7">
                  <c:v>15</c:v>
                </c:pt>
                <c:pt idx="8">
                  <c:v>12</c:v>
                </c:pt>
                <c:pt idx="9">
                  <c:v>9</c:v>
                </c:pt>
                <c:pt idx="10">
                  <c:v>8</c:v>
                </c:pt>
                <c:pt idx="11">
                  <c:v>5</c:v>
                </c:pt>
              </c:numCache>
            </c:numRef>
          </c:val>
        </c:ser>
        <c:ser>
          <c:idx val="7"/>
          <c:order val="7"/>
          <c:tx>
            <c:strRef>
              <c:f>'2014'!$C$15</c:f>
              <c:strCache>
                <c:ptCount val="1"/>
                <c:pt idx="0">
                  <c:v>BMAR</c:v>
                </c:pt>
              </c:strCache>
            </c:strRef>
          </c:tx>
          <c:spPr>
            <a:solidFill>
              <a:schemeClr val="accent2">
                <a:lumMod val="60000"/>
              </a:schemeClr>
            </a:solidFill>
            <a:ln>
              <a:noFill/>
            </a:ln>
            <a:effectLst/>
          </c:spPr>
          <c:invertIfNegative val="0"/>
          <c:cat>
            <c:strRef>
              <c:f>'2014'!$D$7:$O$7</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'2014'!$D$15:$O$15</c:f>
              <c:numCache>
                <c:formatCode>General</c:formatCode>
                <c:ptCount val="12"/>
                <c:pt idx="2">
                  <c:v>13</c:v>
                </c:pt>
                <c:pt idx="4">
                  <c:v>2</c:v>
                </c:pt>
                <c:pt idx="5">
                  <c:v>3</c:v>
                </c:pt>
                <c:pt idx="7">
                  <c:v>12</c:v>
                </c:pt>
                <c:pt idx="8">
                  <c:v>8</c:v>
                </c:pt>
                <c:pt idx="10">
                  <c:v>1</c:v>
                </c:pt>
              </c:numCache>
            </c:numRef>
          </c:val>
        </c:ser>
        <c:dLbls>
          <c:showLegendKey val="0"/>
          <c:showVal val="0"/>
          <c:showCatName val="0"/>
          <c:showSerName val="0"/>
          <c:showPercent val="0"/>
          <c:showBubbleSize val="0"/>
        </c:dLbls>
        <c:gapWidth val="150"/>
        <c:axId val="232149376"/>
        <c:axId val="232150912"/>
      </c:barChart>
      <c:catAx>
        <c:axId val="23214937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32150912"/>
        <c:crosses val="autoZero"/>
        <c:auto val="1"/>
        <c:lblAlgn val="ctr"/>
        <c:lblOffset val="100"/>
        <c:noMultiLvlLbl val="0"/>
      </c:catAx>
      <c:valAx>
        <c:axId val="23215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321493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Hoja1!$D$5:$O$5</c:f>
              <c:strCache>
                <c:ptCount val="12"/>
                <c:pt idx="0">
                  <c:v>Enero</c:v>
                </c:pt>
                <c:pt idx="1">
                  <c:v>Feb</c:v>
                </c:pt>
                <c:pt idx="2">
                  <c:v>Mar</c:v>
                </c:pt>
                <c:pt idx="3">
                  <c:v>Abril</c:v>
                </c:pt>
                <c:pt idx="4">
                  <c:v>May</c:v>
                </c:pt>
                <c:pt idx="5">
                  <c:v>Juni</c:v>
                </c:pt>
                <c:pt idx="6">
                  <c:v>Julio</c:v>
                </c:pt>
                <c:pt idx="7">
                  <c:v>Ago</c:v>
                </c:pt>
                <c:pt idx="8">
                  <c:v>Sep</c:v>
                </c:pt>
                <c:pt idx="9">
                  <c:v>Oct</c:v>
                </c:pt>
                <c:pt idx="10">
                  <c:v>Nov</c:v>
                </c:pt>
                <c:pt idx="11">
                  <c:v>Dic</c:v>
                </c:pt>
              </c:strCache>
            </c:strRef>
          </c:cat>
          <c:val>
            <c:numRef>
              <c:f>Hoja1!$D$6:$O$6</c:f>
              <c:numCache>
                <c:formatCode>General</c:formatCode>
                <c:ptCount val="12"/>
                <c:pt idx="0">
                  <c:v>105</c:v>
                </c:pt>
                <c:pt idx="1">
                  <c:v>122</c:v>
                </c:pt>
                <c:pt idx="2">
                  <c:v>107</c:v>
                </c:pt>
                <c:pt idx="3">
                  <c:v>39</c:v>
                </c:pt>
                <c:pt idx="4">
                  <c:v>23</c:v>
                </c:pt>
                <c:pt idx="5">
                  <c:v>66</c:v>
                </c:pt>
                <c:pt idx="6">
                  <c:v>155</c:v>
                </c:pt>
                <c:pt idx="7">
                  <c:v>211</c:v>
                </c:pt>
                <c:pt idx="8">
                  <c:v>144</c:v>
                </c:pt>
                <c:pt idx="9">
                  <c:v>62</c:v>
                </c:pt>
                <c:pt idx="10">
                  <c:v>95</c:v>
                </c:pt>
                <c:pt idx="11">
                  <c:v>57</c:v>
                </c:pt>
              </c:numCache>
            </c:numRef>
          </c:val>
        </c:ser>
        <c:dLbls>
          <c:dLblPos val="inEnd"/>
          <c:showLegendKey val="0"/>
          <c:showVal val="1"/>
          <c:showCatName val="0"/>
          <c:showSerName val="0"/>
          <c:showPercent val="0"/>
          <c:showBubbleSize val="0"/>
        </c:dLbls>
        <c:gapWidth val="65"/>
        <c:axId val="232159104"/>
        <c:axId val="232166144"/>
      </c:barChart>
      <c:catAx>
        <c:axId val="2321591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232166144"/>
        <c:crosses val="autoZero"/>
        <c:auto val="1"/>
        <c:lblAlgn val="ctr"/>
        <c:lblOffset val="100"/>
        <c:noMultiLvlLbl val="0"/>
      </c:catAx>
      <c:valAx>
        <c:axId val="23216614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2321591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Hoja1!$C$36:$M$36</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Hoja1!$C$37:$M$37</c:f>
              <c:numCache>
                <c:formatCode>General</c:formatCode>
                <c:ptCount val="11"/>
                <c:pt idx="0">
                  <c:v>196</c:v>
                </c:pt>
                <c:pt idx="1">
                  <c:v>241</c:v>
                </c:pt>
                <c:pt idx="2">
                  <c:v>161</c:v>
                </c:pt>
                <c:pt idx="3">
                  <c:v>162</c:v>
                </c:pt>
                <c:pt idx="4">
                  <c:v>202</c:v>
                </c:pt>
                <c:pt idx="5">
                  <c:v>132</c:v>
                </c:pt>
                <c:pt idx="6">
                  <c:v>149</c:v>
                </c:pt>
                <c:pt idx="7">
                  <c:v>176</c:v>
                </c:pt>
                <c:pt idx="8">
                  <c:v>278</c:v>
                </c:pt>
                <c:pt idx="9">
                  <c:v>218</c:v>
                </c:pt>
                <c:pt idx="10">
                  <c:v>160</c:v>
                </c:pt>
              </c:numCache>
            </c:numRef>
          </c:val>
        </c:ser>
        <c:dLbls>
          <c:showLegendKey val="0"/>
          <c:showVal val="1"/>
          <c:showCatName val="0"/>
          <c:showSerName val="0"/>
          <c:showPercent val="0"/>
          <c:showBubbleSize val="0"/>
        </c:dLbls>
        <c:gapWidth val="219"/>
        <c:overlap val="-27"/>
        <c:axId val="77671424"/>
        <c:axId val="77690752"/>
      </c:barChart>
      <c:catAx>
        <c:axId val="7767142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7690752"/>
        <c:crosses val="autoZero"/>
        <c:auto val="1"/>
        <c:lblAlgn val="ctr"/>
        <c:lblOffset val="100"/>
        <c:noMultiLvlLbl val="0"/>
      </c:catAx>
      <c:valAx>
        <c:axId val="7769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767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noFill/>
            <a:ln w="9525" cap="flat" cmpd="sng" algn="ctr">
              <a:solidFill>
                <a:schemeClr val="accent3"/>
              </a:solidFill>
              <a:miter lim="800000"/>
            </a:ln>
            <a:effectLst>
              <a:glow rad="63500">
                <a:schemeClr val="accent3">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'2014'!$C$23:$C$41</c:f>
              <c:strCache>
                <c:ptCount val="19"/>
                <c:pt idx="0">
                  <c:v>AAE</c:v>
                </c:pt>
                <c:pt idx="1">
                  <c:v>ABP</c:v>
                </c:pt>
                <c:pt idx="2">
                  <c:v>AI</c:v>
                </c:pt>
                <c:pt idx="3">
                  <c:v>ASE</c:v>
                </c:pt>
                <c:pt idx="4">
                  <c:v>B</c:v>
                </c:pt>
                <c:pt idx="5">
                  <c:v>C</c:v>
                </c:pt>
                <c:pt idx="6">
                  <c:v>CM</c:v>
                </c:pt>
                <c:pt idx="7">
                  <c:v>E</c:v>
                </c:pt>
                <c:pt idx="8">
                  <c:v>F</c:v>
                </c:pt>
                <c:pt idx="9">
                  <c:v>H</c:v>
                </c:pt>
                <c:pt idx="10">
                  <c:v>R</c:v>
                </c:pt>
                <c:pt idx="11">
                  <c:v>AIP</c:v>
                </c:pt>
                <c:pt idx="12">
                  <c:v>AIE</c:v>
                </c:pt>
                <c:pt idx="13">
                  <c:v>AIV</c:v>
                </c:pt>
                <c:pt idx="14">
                  <c:v>ABE</c:v>
                </c:pt>
                <c:pt idx="15">
                  <c:v>S</c:v>
                </c:pt>
                <c:pt idx="16">
                  <c:v>A</c:v>
                </c:pt>
                <c:pt idx="17">
                  <c:v>AM </c:v>
                </c:pt>
                <c:pt idx="18">
                  <c:v>PP</c:v>
                </c:pt>
              </c:strCache>
            </c:strRef>
          </c:cat>
          <c:val>
            <c:numRef>
              <c:f>'2014'!$D$23:$D$41</c:f>
              <c:numCache>
                <c:formatCode>General</c:formatCode>
                <c:ptCount val="19"/>
                <c:pt idx="0">
                  <c:v>125</c:v>
                </c:pt>
                <c:pt idx="1">
                  <c:v>93</c:v>
                </c:pt>
                <c:pt idx="2">
                  <c:v>7</c:v>
                </c:pt>
                <c:pt idx="3">
                  <c:v>19</c:v>
                </c:pt>
                <c:pt idx="4">
                  <c:v>6</c:v>
                </c:pt>
                <c:pt idx="5">
                  <c:v>174</c:v>
                </c:pt>
                <c:pt idx="6">
                  <c:v>93</c:v>
                </c:pt>
                <c:pt idx="7">
                  <c:v>21</c:v>
                </c:pt>
                <c:pt idx="8">
                  <c:v>27</c:v>
                </c:pt>
                <c:pt idx="9">
                  <c:v>361</c:v>
                </c:pt>
                <c:pt idx="10">
                  <c:v>8</c:v>
                </c:pt>
                <c:pt idx="11">
                  <c:v>153</c:v>
                </c:pt>
                <c:pt idx="12">
                  <c:v>28</c:v>
                </c:pt>
                <c:pt idx="13">
                  <c:v>20</c:v>
                </c:pt>
                <c:pt idx="14">
                  <c:v>10</c:v>
                </c:pt>
                <c:pt idx="15">
                  <c:v>30</c:v>
                </c:pt>
                <c:pt idx="16">
                  <c:v>2</c:v>
                </c:pt>
                <c:pt idx="17">
                  <c:v>2</c:v>
                </c:pt>
                <c:pt idx="18">
                  <c:v>6</c:v>
                </c:pt>
              </c:numCache>
            </c:numRef>
          </c:val>
        </c:ser>
        <c:dLbls>
          <c:showLegendKey val="0"/>
          <c:showVal val="1"/>
          <c:showCatName val="0"/>
          <c:showSerName val="0"/>
          <c:showPercent val="0"/>
          <c:showBubbleSize val="0"/>
        </c:dLbls>
        <c:gapWidth val="315"/>
        <c:overlap val="-40"/>
        <c:axId val="232243584"/>
        <c:axId val="232246272"/>
      </c:barChart>
      <c:catAx>
        <c:axId val="232243584"/>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232246272"/>
        <c:crosses val="autoZero"/>
        <c:auto val="1"/>
        <c:lblAlgn val="ctr"/>
        <c:lblOffset val="100"/>
        <c:noMultiLvlLbl val="0"/>
      </c:catAx>
      <c:valAx>
        <c:axId val="23224627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232243584"/>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noFill/>
            <a:ln w="9525" cap="flat" cmpd="sng" algn="ctr">
              <a:solidFill>
                <a:schemeClr val="dk1">
                  <a:tint val="88500"/>
                </a:schemeClr>
              </a:solidFill>
              <a:miter lim="800000"/>
            </a:ln>
            <a:effectLst>
              <a:glow rad="63500">
                <a:schemeClr val="dk1">
                  <a:tint val="88500"/>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Hoja1!$B$91:$B$105</c:f>
              <c:strCache>
                <c:ptCount val="15"/>
                <c:pt idx="0">
                  <c:v>ABE</c:v>
                </c:pt>
                <c:pt idx="1">
                  <c:v>ABP</c:v>
                </c:pt>
                <c:pt idx="2">
                  <c:v>AI</c:v>
                </c:pt>
                <c:pt idx="3">
                  <c:v>ASE</c:v>
                </c:pt>
                <c:pt idx="4">
                  <c:v>B</c:v>
                </c:pt>
                <c:pt idx="5">
                  <c:v>C</c:v>
                </c:pt>
                <c:pt idx="6">
                  <c:v>CM</c:v>
                </c:pt>
                <c:pt idx="7">
                  <c:v>E</c:v>
                </c:pt>
                <c:pt idx="8">
                  <c:v>F</c:v>
                </c:pt>
                <c:pt idx="9">
                  <c:v>FA</c:v>
                </c:pt>
                <c:pt idx="10">
                  <c:v>H</c:v>
                </c:pt>
                <c:pt idx="11">
                  <c:v>R</c:v>
                </c:pt>
                <c:pt idx="12">
                  <c:v>AIP</c:v>
                </c:pt>
                <c:pt idx="13">
                  <c:v>AIE</c:v>
                </c:pt>
                <c:pt idx="14">
                  <c:v>AIV</c:v>
                </c:pt>
              </c:strCache>
            </c:strRef>
          </c:cat>
          <c:val>
            <c:numRef>
              <c:f>Hoja1!$C$91:$C$105</c:f>
              <c:numCache>
                <c:formatCode>General</c:formatCode>
                <c:ptCount val="15"/>
                <c:pt idx="0">
                  <c:v>13</c:v>
                </c:pt>
                <c:pt idx="1">
                  <c:v>34</c:v>
                </c:pt>
                <c:pt idx="2">
                  <c:v>42</c:v>
                </c:pt>
                <c:pt idx="3">
                  <c:v>29</c:v>
                </c:pt>
                <c:pt idx="4">
                  <c:v>148</c:v>
                </c:pt>
                <c:pt idx="5">
                  <c:v>329</c:v>
                </c:pt>
                <c:pt idx="6">
                  <c:v>329</c:v>
                </c:pt>
                <c:pt idx="7">
                  <c:v>71</c:v>
                </c:pt>
                <c:pt idx="8">
                  <c:v>74</c:v>
                </c:pt>
                <c:pt idx="9">
                  <c:v>2</c:v>
                </c:pt>
                <c:pt idx="10">
                  <c:v>697</c:v>
                </c:pt>
                <c:pt idx="11">
                  <c:v>48</c:v>
                </c:pt>
                <c:pt idx="12">
                  <c:v>124</c:v>
                </c:pt>
                <c:pt idx="13">
                  <c:v>48</c:v>
                </c:pt>
                <c:pt idx="14">
                  <c:v>15</c:v>
                </c:pt>
              </c:numCache>
            </c:numRef>
          </c:val>
        </c:ser>
        <c:dLbls>
          <c:showLegendKey val="0"/>
          <c:showVal val="1"/>
          <c:showCatName val="0"/>
          <c:showSerName val="0"/>
          <c:showPercent val="0"/>
          <c:showBubbleSize val="0"/>
        </c:dLbls>
        <c:gapWidth val="315"/>
        <c:overlap val="-40"/>
        <c:axId val="77682176"/>
        <c:axId val="232190336"/>
      </c:barChart>
      <c:catAx>
        <c:axId val="7768217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232190336"/>
        <c:crosses val="autoZero"/>
        <c:auto val="1"/>
        <c:lblAlgn val="ctr"/>
        <c:lblOffset val="100"/>
        <c:noMultiLvlLbl val="0"/>
      </c:catAx>
      <c:valAx>
        <c:axId val="23219033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77682176"/>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spPr>
            <a:noFill/>
            <a:ln w="9525" cap="flat" cmpd="sng" algn="ctr">
              <a:solidFill>
                <a:schemeClr val="accent6"/>
              </a:solidFill>
              <a:miter lim="800000"/>
            </a:ln>
            <a:effectLst>
              <a:glow rad="63500">
                <a:schemeClr val="accent6">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'Ataques AIP 2014'!$B$5:$B$14</c:f>
              <c:strCache>
                <c:ptCount val="10"/>
                <c:pt idx="0">
                  <c:v>Nte Santander</c:v>
                </c:pt>
                <c:pt idx="1">
                  <c:v>Putumayo</c:v>
                </c:pt>
                <c:pt idx="2">
                  <c:v>Arauca</c:v>
                </c:pt>
                <c:pt idx="3">
                  <c:v>Nariño</c:v>
                </c:pt>
                <c:pt idx="4">
                  <c:v>Boyaca</c:v>
                </c:pt>
                <c:pt idx="5">
                  <c:v>Meta</c:v>
                </c:pt>
                <c:pt idx="6">
                  <c:v>Casanare</c:v>
                </c:pt>
                <c:pt idx="7">
                  <c:v>Santander</c:v>
                </c:pt>
                <c:pt idx="8">
                  <c:v>Huila</c:v>
                </c:pt>
                <c:pt idx="9">
                  <c:v>Tolima</c:v>
                </c:pt>
              </c:strCache>
            </c:strRef>
          </c:cat>
          <c:val>
            <c:numRef>
              <c:f>'Ataques AIP 2014'!$C$5:$C$14</c:f>
              <c:numCache>
                <c:formatCode>General</c:formatCode>
                <c:ptCount val="10"/>
                <c:pt idx="0">
                  <c:v>18</c:v>
                </c:pt>
                <c:pt idx="1">
                  <c:v>98</c:v>
                </c:pt>
                <c:pt idx="2">
                  <c:v>4</c:v>
                </c:pt>
                <c:pt idx="3">
                  <c:v>10</c:v>
                </c:pt>
                <c:pt idx="4">
                  <c:v>4</c:v>
                </c:pt>
                <c:pt idx="5">
                  <c:v>10</c:v>
                </c:pt>
                <c:pt idx="6">
                  <c:v>4</c:v>
                </c:pt>
                <c:pt idx="7">
                  <c:v>2</c:v>
                </c:pt>
                <c:pt idx="8">
                  <c:v>2</c:v>
                </c:pt>
                <c:pt idx="9">
                  <c:v>1</c:v>
                </c:pt>
              </c:numCache>
            </c:numRef>
          </c:val>
        </c:ser>
        <c:dLbls>
          <c:showLegendKey val="0"/>
          <c:showVal val="1"/>
          <c:showCatName val="0"/>
          <c:showSerName val="0"/>
          <c:showPercent val="0"/>
          <c:showBubbleSize val="0"/>
        </c:dLbls>
        <c:gapWidth val="315"/>
        <c:overlap val="-40"/>
        <c:axId val="232233600"/>
        <c:axId val="232265216"/>
      </c:barChart>
      <c:catAx>
        <c:axId val="23223360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232265216"/>
        <c:crosses val="autoZero"/>
        <c:auto val="1"/>
        <c:lblAlgn val="ctr"/>
        <c:lblOffset val="100"/>
        <c:noMultiLvlLbl val="0"/>
      </c:catAx>
      <c:valAx>
        <c:axId val="23226521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232233600"/>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C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Hoja1!$F$4:$F$9</c:f>
              <c:strCache>
                <c:ptCount val="6"/>
                <c:pt idx="0">
                  <c:v>Oleoducto</c:v>
                </c:pt>
                <c:pt idx="1">
                  <c:v>Carro Tanque</c:v>
                </c:pt>
                <c:pt idx="2">
                  <c:v>Maquinaria</c:v>
                </c:pt>
                <c:pt idx="3">
                  <c:v>Maquinaria</c:v>
                </c:pt>
                <c:pt idx="4">
                  <c:v>Instalaciones</c:v>
                </c:pt>
                <c:pt idx="5">
                  <c:v>Gasoducto</c:v>
                </c:pt>
              </c:strCache>
            </c:strRef>
          </c:cat>
          <c:val>
            <c:numRef>
              <c:f>Hoja1!$G$4:$G$9</c:f>
              <c:numCache>
                <c:formatCode>General</c:formatCode>
                <c:ptCount val="6"/>
                <c:pt idx="0">
                  <c:v>91</c:v>
                </c:pt>
                <c:pt idx="1">
                  <c:v>19</c:v>
                </c:pt>
                <c:pt idx="2">
                  <c:v>3</c:v>
                </c:pt>
                <c:pt idx="3">
                  <c:v>3</c:v>
                </c:pt>
                <c:pt idx="4">
                  <c:v>5</c:v>
                </c:pt>
                <c:pt idx="5">
                  <c:v>3</c:v>
                </c:pt>
              </c:numCache>
            </c:numRef>
          </c:val>
        </c:ser>
        <c:dLbls>
          <c:showLegendKey val="0"/>
          <c:showVal val="1"/>
          <c:showCatName val="0"/>
          <c:showSerName val="0"/>
          <c:showPercent val="0"/>
          <c:showBubbleSize val="0"/>
        </c:dLbls>
        <c:gapWidth val="315"/>
        <c:overlap val="-40"/>
        <c:axId val="232128512"/>
        <c:axId val="232131200"/>
      </c:barChart>
      <c:catAx>
        <c:axId val="232128512"/>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232131200"/>
        <c:crosses val="autoZero"/>
        <c:auto val="1"/>
        <c:lblAlgn val="ctr"/>
        <c:lblOffset val="100"/>
        <c:noMultiLvlLbl val="0"/>
      </c:catAx>
      <c:valAx>
        <c:axId val="23213120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232128512"/>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C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'Ataques AIP 2014'!$B$23:$B$31</c:f>
              <c:strCache>
                <c:ptCount val="9"/>
                <c:pt idx="0">
                  <c:v>ANTIOQUIA</c:v>
                </c:pt>
                <c:pt idx="1">
                  <c:v>ARAUCA</c:v>
                </c:pt>
                <c:pt idx="2">
                  <c:v>CAUCA</c:v>
                </c:pt>
                <c:pt idx="3">
                  <c:v>GUAVIARE</c:v>
                </c:pt>
                <c:pt idx="4">
                  <c:v>HUILA</c:v>
                </c:pt>
                <c:pt idx="5">
                  <c:v>META</c:v>
                </c:pt>
                <c:pt idx="6">
                  <c:v>PUTUMAYO</c:v>
                </c:pt>
                <c:pt idx="7">
                  <c:v>TOLIMA</c:v>
                </c:pt>
                <c:pt idx="8">
                  <c:v>VALLE DEL CAUCA</c:v>
                </c:pt>
              </c:strCache>
            </c:strRef>
          </c:cat>
          <c:val>
            <c:numRef>
              <c:f>'Ataques AIP 2014'!$C$23:$C$31</c:f>
              <c:numCache>
                <c:formatCode>General</c:formatCode>
                <c:ptCount val="9"/>
                <c:pt idx="0">
                  <c:v>5</c:v>
                </c:pt>
                <c:pt idx="1">
                  <c:v>1</c:v>
                </c:pt>
                <c:pt idx="2">
                  <c:v>1</c:v>
                </c:pt>
                <c:pt idx="3">
                  <c:v>1</c:v>
                </c:pt>
                <c:pt idx="4">
                  <c:v>5</c:v>
                </c:pt>
                <c:pt idx="5">
                  <c:v>6</c:v>
                </c:pt>
                <c:pt idx="6">
                  <c:v>1</c:v>
                </c:pt>
                <c:pt idx="7">
                  <c:v>5</c:v>
                </c:pt>
                <c:pt idx="8">
                  <c:v>3</c:v>
                </c:pt>
              </c:numCache>
            </c:numRef>
          </c:val>
        </c:ser>
        <c:dLbls>
          <c:showLegendKey val="0"/>
          <c:showVal val="1"/>
          <c:showCatName val="0"/>
          <c:showSerName val="0"/>
          <c:showPercent val="0"/>
          <c:showBubbleSize val="0"/>
        </c:dLbls>
        <c:gapWidth val="315"/>
        <c:overlap val="-40"/>
        <c:axId val="232424576"/>
        <c:axId val="232452096"/>
      </c:barChart>
      <c:catAx>
        <c:axId val="23242457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232452096"/>
        <c:crosses val="autoZero"/>
        <c:auto val="1"/>
        <c:lblAlgn val="ctr"/>
        <c:lblOffset val="100"/>
        <c:noMultiLvlLbl val="0"/>
      </c:catAx>
      <c:valAx>
        <c:axId val="23245209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CO"/>
          </a:p>
        </c:txPr>
        <c:crossAx val="232424576"/>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C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79E605-FF63-465E-A06B-561FE7CBB005}"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n-US"/>
        </a:p>
      </dgm:t>
    </dgm:pt>
    <dgm:pt modelId="{B7281BD2-CF12-467B-99C6-C701BFBB7F1D}">
      <dgm:prSet phldrT="[Texto]" custT="1"/>
      <dgm:spPr>
        <a:xfrm>
          <a:off x="14665" y="845511"/>
          <a:ext cx="1469157" cy="734578"/>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dirty="0" smtClean="0">
              <a:solidFill>
                <a:sysClr val="window" lastClr="FFFFFF"/>
              </a:solidFill>
              <a:latin typeface="Calibri"/>
              <a:ea typeface="+mn-ea"/>
              <a:cs typeface="+mn-cs"/>
            </a:rPr>
            <a:t>Consejo de Seguridad. </a:t>
          </a:r>
          <a:endParaRPr lang="en-US" sz="1200" dirty="0">
            <a:solidFill>
              <a:sysClr val="window" lastClr="FFFFFF"/>
            </a:solidFill>
            <a:latin typeface="Calibri"/>
            <a:ea typeface="+mn-ea"/>
            <a:cs typeface="+mn-cs"/>
          </a:endParaRPr>
        </a:p>
      </dgm:t>
    </dgm:pt>
    <dgm:pt modelId="{DD46044B-02AA-49EA-944E-E94DB553576F}" type="parTrans" cxnId="{930DB3E7-EF9E-4C3E-B9CB-DBB8F1884714}">
      <dgm:prSet/>
      <dgm:spPr/>
      <dgm:t>
        <a:bodyPr/>
        <a:lstStyle/>
        <a:p>
          <a:endParaRPr lang="en-US" sz="1200"/>
        </a:p>
      </dgm:t>
    </dgm:pt>
    <dgm:pt modelId="{960C3845-8ABD-49BB-BDF6-490BEE1F8801}" type="sibTrans" cxnId="{930DB3E7-EF9E-4C3E-B9CB-DBB8F1884714}">
      <dgm:prSet/>
      <dgm:spPr/>
      <dgm:t>
        <a:bodyPr/>
        <a:lstStyle/>
        <a:p>
          <a:endParaRPr lang="en-US" sz="1200"/>
        </a:p>
      </dgm:t>
    </dgm:pt>
    <dgm:pt modelId="{25CD8F8D-3D4C-44D0-9FAD-AF140B1FF510}">
      <dgm:prSet phldrT="[Texto]" custT="1"/>
      <dgm:spPr>
        <a:xfrm>
          <a:off x="2071486" y="423128"/>
          <a:ext cx="1469157" cy="734578"/>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dirty="0" smtClean="0">
              <a:solidFill>
                <a:sysClr val="window" lastClr="FFFFFF"/>
              </a:solidFill>
              <a:latin typeface="Calibri"/>
              <a:ea typeface="+mn-ea"/>
              <a:cs typeface="+mn-cs"/>
            </a:rPr>
            <a:t>Junta de Acción comunal</a:t>
          </a:r>
          <a:endParaRPr lang="en-US" sz="1200" dirty="0">
            <a:solidFill>
              <a:sysClr val="window" lastClr="FFFFFF"/>
            </a:solidFill>
            <a:latin typeface="Calibri"/>
            <a:ea typeface="+mn-ea"/>
            <a:cs typeface="+mn-cs"/>
          </a:endParaRPr>
        </a:p>
      </dgm:t>
    </dgm:pt>
    <dgm:pt modelId="{A1E47707-D95F-40FE-AEDA-D677AB5C0479}" type="parTrans" cxnId="{E3AFE897-369B-4135-8FB8-06BFEC742025}">
      <dgm:prSet custT="1"/>
      <dgm:spPr>
        <a:xfrm rot="19457599">
          <a:off x="1415799" y="968606"/>
          <a:ext cx="723709" cy="66005"/>
        </a:xfrm>
        <a:noFill/>
        <a:ln w="12700" cap="flat" cmpd="sng" algn="ctr">
          <a:solidFill>
            <a:srgbClr val="ED7D31">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1984A4EC-1DBD-41A3-A98B-30EDE56FFACF}" type="sibTrans" cxnId="{E3AFE897-369B-4135-8FB8-06BFEC742025}">
      <dgm:prSet/>
      <dgm:spPr/>
      <dgm:t>
        <a:bodyPr/>
        <a:lstStyle/>
        <a:p>
          <a:endParaRPr lang="en-US" sz="1200"/>
        </a:p>
      </dgm:t>
    </dgm:pt>
    <dgm:pt modelId="{DC981EBB-C544-48FB-BA45-5429210C6B61}">
      <dgm:prSet phldrT="[Texto]" custT="1"/>
      <dgm:spPr>
        <a:xfrm>
          <a:off x="4128306" y="745"/>
          <a:ext cx="1469157" cy="734578"/>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dirty="0" smtClean="0">
              <a:solidFill>
                <a:sysClr val="window" lastClr="FFFFFF"/>
              </a:solidFill>
              <a:latin typeface="Calibri"/>
              <a:ea typeface="+mn-ea"/>
              <a:cs typeface="+mn-cs"/>
            </a:rPr>
            <a:t>comité de conciliación e la JAC</a:t>
          </a:r>
          <a:endParaRPr lang="en-US" sz="1200" dirty="0">
            <a:solidFill>
              <a:sysClr val="window" lastClr="FFFFFF"/>
            </a:solidFill>
            <a:latin typeface="Calibri"/>
            <a:ea typeface="+mn-ea"/>
            <a:cs typeface="+mn-cs"/>
          </a:endParaRPr>
        </a:p>
      </dgm:t>
    </dgm:pt>
    <dgm:pt modelId="{FA0C90B6-73BE-48AE-B387-1F127051667C}" type="parTrans" cxnId="{39A29815-52E4-46C1-9A13-3A342C6BD770}">
      <dgm:prSet custT="1"/>
      <dgm:spPr>
        <a:xfrm rot="19457599">
          <a:off x="3472620" y="546223"/>
          <a:ext cx="723709" cy="66005"/>
        </a:xfrm>
        <a:noFill/>
        <a:ln w="12700" cap="flat" cmpd="sng" algn="ctr">
          <a:solidFill>
            <a:srgbClr val="A5A5A5">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0DB1B3D4-C5C5-4BD9-B21F-2F0400CF2575}" type="sibTrans" cxnId="{39A29815-52E4-46C1-9A13-3A342C6BD770}">
      <dgm:prSet/>
      <dgm:spPr/>
      <dgm:t>
        <a:bodyPr/>
        <a:lstStyle/>
        <a:p>
          <a:endParaRPr lang="en-US" sz="1200"/>
        </a:p>
      </dgm:t>
    </dgm:pt>
    <dgm:pt modelId="{10BC5880-A522-449D-988B-FFAC94D18A54}">
      <dgm:prSet phldrT="[Texto]" custT="1"/>
      <dgm:spPr>
        <a:xfrm>
          <a:off x="4128306" y="845511"/>
          <a:ext cx="1469157" cy="734578"/>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dirty="0">
              <a:solidFill>
                <a:sysClr val="window" lastClr="FFFFFF"/>
              </a:solidFill>
              <a:latin typeface="Calibri"/>
              <a:ea typeface="+mn-ea"/>
              <a:cs typeface="+mn-cs"/>
            </a:rPr>
            <a:t>Problemas entre vicinos </a:t>
          </a:r>
        </a:p>
      </dgm:t>
    </dgm:pt>
    <dgm:pt modelId="{AD93FD70-D990-4CF4-8A6E-629B2863388D}" type="parTrans" cxnId="{5B203576-20F9-49EF-9E96-08AC1C853D6B}">
      <dgm:prSet custT="1"/>
      <dgm:spPr>
        <a:xfrm rot="2142401">
          <a:off x="3472620" y="968606"/>
          <a:ext cx="723709" cy="66005"/>
        </a:xfrm>
        <a:noFill/>
        <a:ln w="12700" cap="flat" cmpd="sng" algn="ctr">
          <a:solidFill>
            <a:srgbClr val="A5A5A5">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0D9B4610-D1AC-46A4-BD48-C8E71C732A1C}" type="sibTrans" cxnId="{5B203576-20F9-49EF-9E96-08AC1C853D6B}">
      <dgm:prSet/>
      <dgm:spPr/>
      <dgm:t>
        <a:bodyPr/>
        <a:lstStyle/>
        <a:p>
          <a:endParaRPr lang="en-US" sz="1200"/>
        </a:p>
      </dgm:t>
    </dgm:pt>
    <dgm:pt modelId="{50E69C96-E8FD-4E1A-90BE-E40AABA5F773}">
      <dgm:prSet phldrT="[Texto]" custT="1"/>
      <dgm:spPr>
        <a:xfrm>
          <a:off x="2071486" y="1267894"/>
          <a:ext cx="1469157" cy="734578"/>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sz="1200" dirty="0" smtClean="0">
              <a:solidFill>
                <a:sysClr val="window" lastClr="FFFFFF"/>
              </a:solidFill>
              <a:latin typeface="Calibri"/>
              <a:ea typeface="+mn-ea"/>
              <a:cs typeface="+mn-cs"/>
            </a:rPr>
            <a:t>Núcleo de Juntas</a:t>
          </a:r>
          <a:endParaRPr lang="en-US" sz="1200" dirty="0">
            <a:solidFill>
              <a:sysClr val="window" lastClr="FFFFFF"/>
            </a:solidFill>
            <a:latin typeface="Calibri"/>
            <a:ea typeface="+mn-ea"/>
            <a:cs typeface="+mn-cs"/>
          </a:endParaRPr>
        </a:p>
      </dgm:t>
    </dgm:pt>
    <dgm:pt modelId="{0111873A-1616-42EE-B10D-D6BD7A93AE08}" type="parTrans" cxnId="{C271ED2F-4114-4D9E-9678-9D470C306244}">
      <dgm:prSet custT="1"/>
      <dgm:spPr>
        <a:xfrm rot="2142401">
          <a:off x="1415799" y="1390989"/>
          <a:ext cx="723709" cy="66005"/>
        </a:xfrm>
        <a:noFill/>
        <a:ln w="12700" cap="flat" cmpd="sng" algn="ctr">
          <a:solidFill>
            <a:srgbClr val="ED7D31">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072F3F22-384B-445C-8FB0-32A7F552D06C}" type="sibTrans" cxnId="{C271ED2F-4114-4D9E-9678-9D470C306244}">
      <dgm:prSet/>
      <dgm:spPr/>
      <dgm:t>
        <a:bodyPr/>
        <a:lstStyle/>
        <a:p>
          <a:endParaRPr lang="en-US" sz="1200"/>
        </a:p>
      </dgm:t>
    </dgm:pt>
    <dgm:pt modelId="{C105BE27-957E-40DB-8316-26A02E897677}" type="pres">
      <dgm:prSet presAssocID="{7A79E605-FF63-465E-A06B-561FE7CBB005}" presName="hierChild1" presStyleCnt="0">
        <dgm:presLayoutVars>
          <dgm:orgChart val="1"/>
          <dgm:chPref val="1"/>
          <dgm:dir/>
          <dgm:animOne val="branch"/>
          <dgm:animLvl val="lvl"/>
          <dgm:resizeHandles/>
        </dgm:presLayoutVars>
      </dgm:prSet>
      <dgm:spPr/>
      <dgm:t>
        <a:bodyPr/>
        <a:lstStyle/>
        <a:p>
          <a:endParaRPr lang="es-CO"/>
        </a:p>
      </dgm:t>
    </dgm:pt>
    <dgm:pt modelId="{656E226C-9A28-44F8-82FD-BF395F60719E}" type="pres">
      <dgm:prSet presAssocID="{B7281BD2-CF12-467B-99C6-C701BFBB7F1D}" presName="hierRoot1" presStyleCnt="0">
        <dgm:presLayoutVars>
          <dgm:hierBranch val="init"/>
        </dgm:presLayoutVars>
      </dgm:prSet>
      <dgm:spPr/>
    </dgm:pt>
    <dgm:pt modelId="{193B9383-AC49-4429-8DCA-7610E7ECB419}" type="pres">
      <dgm:prSet presAssocID="{B7281BD2-CF12-467B-99C6-C701BFBB7F1D}" presName="rootComposite1" presStyleCnt="0"/>
      <dgm:spPr/>
    </dgm:pt>
    <dgm:pt modelId="{4DBB753F-27D1-4D33-889A-1B88E8CF21AA}" type="pres">
      <dgm:prSet presAssocID="{B7281BD2-CF12-467B-99C6-C701BFBB7F1D}" presName="rootText1" presStyleLbl="node0" presStyleIdx="0" presStyleCnt="1">
        <dgm:presLayoutVars>
          <dgm:chPref val="3"/>
        </dgm:presLayoutVars>
      </dgm:prSet>
      <dgm:spPr/>
      <dgm:t>
        <a:bodyPr/>
        <a:lstStyle/>
        <a:p>
          <a:endParaRPr lang="es-CO"/>
        </a:p>
      </dgm:t>
    </dgm:pt>
    <dgm:pt modelId="{77529145-2173-49B4-8D54-778F0FB845CB}" type="pres">
      <dgm:prSet presAssocID="{B7281BD2-CF12-467B-99C6-C701BFBB7F1D}" presName="rootConnector1" presStyleLbl="node1" presStyleIdx="0" presStyleCnt="0"/>
      <dgm:spPr/>
      <dgm:t>
        <a:bodyPr/>
        <a:lstStyle/>
        <a:p>
          <a:endParaRPr lang="es-CO"/>
        </a:p>
      </dgm:t>
    </dgm:pt>
    <dgm:pt modelId="{B0EE3779-DAD7-416D-B74D-EF5614C24180}" type="pres">
      <dgm:prSet presAssocID="{B7281BD2-CF12-467B-99C6-C701BFBB7F1D}" presName="hierChild2" presStyleCnt="0"/>
      <dgm:spPr/>
    </dgm:pt>
    <dgm:pt modelId="{ED848850-39F7-4883-BC8C-2584F8FE687B}" type="pres">
      <dgm:prSet presAssocID="{A1E47707-D95F-40FE-AEDA-D677AB5C0479}" presName="Name37" presStyleLbl="parChTrans1D2" presStyleIdx="0" presStyleCnt="2"/>
      <dgm:spPr/>
      <dgm:t>
        <a:bodyPr/>
        <a:lstStyle/>
        <a:p>
          <a:endParaRPr lang="es-CO"/>
        </a:p>
      </dgm:t>
    </dgm:pt>
    <dgm:pt modelId="{41973A3B-FA32-4FCF-AC2C-C3C7C36BEEEE}" type="pres">
      <dgm:prSet presAssocID="{25CD8F8D-3D4C-44D0-9FAD-AF140B1FF510}" presName="hierRoot2" presStyleCnt="0">
        <dgm:presLayoutVars>
          <dgm:hierBranch val="init"/>
        </dgm:presLayoutVars>
      </dgm:prSet>
      <dgm:spPr/>
    </dgm:pt>
    <dgm:pt modelId="{9037E533-8B08-44F2-9BFF-35BBCDF963BF}" type="pres">
      <dgm:prSet presAssocID="{25CD8F8D-3D4C-44D0-9FAD-AF140B1FF510}" presName="rootComposite" presStyleCnt="0"/>
      <dgm:spPr/>
    </dgm:pt>
    <dgm:pt modelId="{AAF10096-C3BB-4565-9AD1-A8018CBCB072}" type="pres">
      <dgm:prSet presAssocID="{25CD8F8D-3D4C-44D0-9FAD-AF140B1FF510}" presName="rootText" presStyleLbl="node2" presStyleIdx="0" presStyleCnt="2">
        <dgm:presLayoutVars>
          <dgm:chPref val="3"/>
        </dgm:presLayoutVars>
      </dgm:prSet>
      <dgm:spPr/>
      <dgm:t>
        <a:bodyPr/>
        <a:lstStyle/>
        <a:p>
          <a:endParaRPr lang="es-CO"/>
        </a:p>
      </dgm:t>
    </dgm:pt>
    <dgm:pt modelId="{8B375171-56A9-4C68-9848-6263655A9613}" type="pres">
      <dgm:prSet presAssocID="{25CD8F8D-3D4C-44D0-9FAD-AF140B1FF510}" presName="rootConnector" presStyleLbl="node2" presStyleIdx="0" presStyleCnt="2"/>
      <dgm:spPr/>
      <dgm:t>
        <a:bodyPr/>
        <a:lstStyle/>
        <a:p>
          <a:endParaRPr lang="es-CO"/>
        </a:p>
      </dgm:t>
    </dgm:pt>
    <dgm:pt modelId="{72B16CEF-2AC7-45CC-83AA-CF0ABBA4545F}" type="pres">
      <dgm:prSet presAssocID="{25CD8F8D-3D4C-44D0-9FAD-AF140B1FF510}" presName="hierChild4" presStyleCnt="0"/>
      <dgm:spPr/>
    </dgm:pt>
    <dgm:pt modelId="{1DDBAEBD-B650-4827-949F-2767F21DF9E4}" type="pres">
      <dgm:prSet presAssocID="{FA0C90B6-73BE-48AE-B387-1F127051667C}" presName="Name37" presStyleLbl="parChTrans1D3" presStyleIdx="0" presStyleCnt="2"/>
      <dgm:spPr/>
      <dgm:t>
        <a:bodyPr/>
        <a:lstStyle/>
        <a:p>
          <a:endParaRPr lang="es-CO"/>
        </a:p>
      </dgm:t>
    </dgm:pt>
    <dgm:pt modelId="{F667DE8F-EC83-4441-851F-08F3B206F205}" type="pres">
      <dgm:prSet presAssocID="{DC981EBB-C544-48FB-BA45-5429210C6B61}" presName="hierRoot2" presStyleCnt="0">
        <dgm:presLayoutVars>
          <dgm:hierBranch val="init"/>
        </dgm:presLayoutVars>
      </dgm:prSet>
      <dgm:spPr/>
    </dgm:pt>
    <dgm:pt modelId="{A6676ADA-3D65-4C16-8D51-294CAE77BF07}" type="pres">
      <dgm:prSet presAssocID="{DC981EBB-C544-48FB-BA45-5429210C6B61}" presName="rootComposite" presStyleCnt="0"/>
      <dgm:spPr/>
    </dgm:pt>
    <dgm:pt modelId="{EB51EE66-6BCA-4857-A767-97640A6F21B9}" type="pres">
      <dgm:prSet presAssocID="{DC981EBB-C544-48FB-BA45-5429210C6B61}" presName="rootText" presStyleLbl="node3" presStyleIdx="0" presStyleCnt="2">
        <dgm:presLayoutVars>
          <dgm:chPref val="3"/>
        </dgm:presLayoutVars>
      </dgm:prSet>
      <dgm:spPr/>
      <dgm:t>
        <a:bodyPr/>
        <a:lstStyle/>
        <a:p>
          <a:endParaRPr lang="es-CO"/>
        </a:p>
      </dgm:t>
    </dgm:pt>
    <dgm:pt modelId="{D91F689F-83E1-49B0-8E61-D6B7E3B82B6F}" type="pres">
      <dgm:prSet presAssocID="{DC981EBB-C544-48FB-BA45-5429210C6B61}" presName="rootConnector" presStyleLbl="node3" presStyleIdx="0" presStyleCnt="2"/>
      <dgm:spPr/>
      <dgm:t>
        <a:bodyPr/>
        <a:lstStyle/>
        <a:p>
          <a:endParaRPr lang="es-CO"/>
        </a:p>
      </dgm:t>
    </dgm:pt>
    <dgm:pt modelId="{5865A04A-B75A-4E84-B141-0E19C9E73080}" type="pres">
      <dgm:prSet presAssocID="{DC981EBB-C544-48FB-BA45-5429210C6B61}" presName="hierChild4" presStyleCnt="0"/>
      <dgm:spPr/>
    </dgm:pt>
    <dgm:pt modelId="{9055D437-5CF3-43B9-B77E-E22E107D7A4B}" type="pres">
      <dgm:prSet presAssocID="{DC981EBB-C544-48FB-BA45-5429210C6B61}" presName="hierChild5" presStyleCnt="0"/>
      <dgm:spPr/>
    </dgm:pt>
    <dgm:pt modelId="{7EB38BB8-8AB6-4EEB-9F0F-69503D4A8809}" type="pres">
      <dgm:prSet presAssocID="{AD93FD70-D990-4CF4-8A6E-629B2863388D}" presName="Name37" presStyleLbl="parChTrans1D3" presStyleIdx="1" presStyleCnt="2"/>
      <dgm:spPr/>
      <dgm:t>
        <a:bodyPr/>
        <a:lstStyle/>
        <a:p>
          <a:endParaRPr lang="es-CO"/>
        </a:p>
      </dgm:t>
    </dgm:pt>
    <dgm:pt modelId="{267D781B-F3DD-4A30-8A3E-FAB995285C60}" type="pres">
      <dgm:prSet presAssocID="{10BC5880-A522-449D-988B-FFAC94D18A54}" presName="hierRoot2" presStyleCnt="0">
        <dgm:presLayoutVars>
          <dgm:hierBranch val="init"/>
        </dgm:presLayoutVars>
      </dgm:prSet>
      <dgm:spPr/>
    </dgm:pt>
    <dgm:pt modelId="{EED23DEF-8B2A-4D80-ADD6-1D199F9291E6}" type="pres">
      <dgm:prSet presAssocID="{10BC5880-A522-449D-988B-FFAC94D18A54}" presName="rootComposite" presStyleCnt="0"/>
      <dgm:spPr/>
    </dgm:pt>
    <dgm:pt modelId="{F728C76C-A345-4F27-AC2D-92D50AFD06F0}" type="pres">
      <dgm:prSet presAssocID="{10BC5880-A522-449D-988B-FFAC94D18A54}" presName="rootText" presStyleLbl="node3" presStyleIdx="1" presStyleCnt="2">
        <dgm:presLayoutVars>
          <dgm:chPref val="3"/>
        </dgm:presLayoutVars>
      </dgm:prSet>
      <dgm:spPr/>
      <dgm:t>
        <a:bodyPr/>
        <a:lstStyle/>
        <a:p>
          <a:endParaRPr lang="es-CO"/>
        </a:p>
      </dgm:t>
    </dgm:pt>
    <dgm:pt modelId="{B73A5379-D104-4242-9C35-ED052556615B}" type="pres">
      <dgm:prSet presAssocID="{10BC5880-A522-449D-988B-FFAC94D18A54}" presName="rootConnector" presStyleLbl="node3" presStyleIdx="1" presStyleCnt="2"/>
      <dgm:spPr/>
      <dgm:t>
        <a:bodyPr/>
        <a:lstStyle/>
        <a:p>
          <a:endParaRPr lang="es-CO"/>
        </a:p>
      </dgm:t>
    </dgm:pt>
    <dgm:pt modelId="{1836CC70-A978-4B55-A979-857486D34F3C}" type="pres">
      <dgm:prSet presAssocID="{10BC5880-A522-449D-988B-FFAC94D18A54}" presName="hierChild4" presStyleCnt="0"/>
      <dgm:spPr/>
    </dgm:pt>
    <dgm:pt modelId="{25C81834-6354-4917-9115-8891D702B91B}" type="pres">
      <dgm:prSet presAssocID="{10BC5880-A522-449D-988B-FFAC94D18A54}" presName="hierChild5" presStyleCnt="0"/>
      <dgm:spPr/>
    </dgm:pt>
    <dgm:pt modelId="{DC70A4AA-6E8F-4218-9CE8-B418DE30E74C}" type="pres">
      <dgm:prSet presAssocID="{25CD8F8D-3D4C-44D0-9FAD-AF140B1FF510}" presName="hierChild5" presStyleCnt="0"/>
      <dgm:spPr/>
    </dgm:pt>
    <dgm:pt modelId="{01866D01-3FD6-4132-B0E6-A7572C3739AE}" type="pres">
      <dgm:prSet presAssocID="{0111873A-1616-42EE-B10D-D6BD7A93AE08}" presName="Name37" presStyleLbl="parChTrans1D2" presStyleIdx="1" presStyleCnt="2"/>
      <dgm:spPr/>
      <dgm:t>
        <a:bodyPr/>
        <a:lstStyle/>
        <a:p>
          <a:endParaRPr lang="es-CO"/>
        </a:p>
      </dgm:t>
    </dgm:pt>
    <dgm:pt modelId="{74ADA4DE-7691-4FBD-B585-D15A026EF6B0}" type="pres">
      <dgm:prSet presAssocID="{50E69C96-E8FD-4E1A-90BE-E40AABA5F773}" presName="hierRoot2" presStyleCnt="0">
        <dgm:presLayoutVars>
          <dgm:hierBranch val="init"/>
        </dgm:presLayoutVars>
      </dgm:prSet>
      <dgm:spPr/>
    </dgm:pt>
    <dgm:pt modelId="{738715D0-2220-4E2D-A609-000C6C32294C}" type="pres">
      <dgm:prSet presAssocID="{50E69C96-E8FD-4E1A-90BE-E40AABA5F773}" presName="rootComposite" presStyleCnt="0"/>
      <dgm:spPr/>
    </dgm:pt>
    <dgm:pt modelId="{A0B82F47-0A5C-4E80-A802-65C2A6CE6FA3}" type="pres">
      <dgm:prSet presAssocID="{50E69C96-E8FD-4E1A-90BE-E40AABA5F773}" presName="rootText" presStyleLbl="node2" presStyleIdx="1" presStyleCnt="2">
        <dgm:presLayoutVars>
          <dgm:chPref val="3"/>
        </dgm:presLayoutVars>
      </dgm:prSet>
      <dgm:spPr/>
      <dgm:t>
        <a:bodyPr/>
        <a:lstStyle/>
        <a:p>
          <a:endParaRPr lang="es-CO"/>
        </a:p>
      </dgm:t>
    </dgm:pt>
    <dgm:pt modelId="{2E5E73BF-ACF8-4B6F-9B3D-608E47F2E322}" type="pres">
      <dgm:prSet presAssocID="{50E69C96-E8FD-4E1A-90BE-E40AABA5F773}" presName="rootConnector" presStyleLbl="node2" presStyleIdx="1" presStyleCnt="2"/>
      <dgm:spPr/>
      <dgm:t>
        <a:bodyPr/>
        <a:lstStyle/>
        <a:p>
          <a:endParaRPr lang="es-CO"/>
        </a:p>
      </dgm:t>
    </dgm:pt>
    <dgm:pt modelId="{0084F99F-34AE-483A-BE64-9A8337F9DBF5}" type="pres">
      <dgm:prSet presAssocID="{50E69C96-E8FD-4E1A-90BE-E40AABA5F773}" presName="hierChild4" presStyleCnt="0"/>
      <dgm:spPr/>
    </dgm:pt>
    <dgm:pt modelId="{C0E339E3-E1A1-4AFD-B86B-669774FEE3A8}" type="pres">
      <dgm:prSet presAssocID="{50E69C96-E8FD-4E1A-90BE-E40AABA5F773}" presName="hierChild5" presStyleCnt="0"/>
      <dgm:spPr/>
    </dgm:pt>
    <dgm:pt modelId="{0CBA9B5D-59E2-4307-800C-42BF4AA9C451}" type="pres">
      <dgm:prSet presAssocID="{B7281BD2-CF12-467B-99C6-C701BFBB7F1D}" presName="hierChild3" presStyleCnt="0"/>
      <dgm:spPr/>
    </dgm:pt>
  </dgm:ptLst>
  <dgm:cxnLst>
    <dgm:cxn modelId="{39A29815-52E4-46C1-9A13-3A342C6BD770}" srcId="{25CD8F8D-3D4C-44D0-9FAD-AF140B1FF510}" destId="{DC981EBB-C544-48FB-BA45-5429210C6B61}" srcOrd="0" destOrd="0" parTransId="{FA0C90B6-73BE-48AE-B387-1F127051667C}" sibTransId="{0DB1B3D4-C5C5-4BD9-B21F-2F0400CF2575}"/>
    <dgm:cxn modelId="{3992053C-AC60-4E76-A049-374AC93E8E03}" type="presOf" srcId="{DC981EBB-C544-48FB-BA45-5429210C6B61}" destId="{EB51EE66-6BCA-4857-A767-97640A6F21B9}" srcOrd="0" destOrd="0" presId="urn:microsoft.com/office/officeart/2005/8/layout/orgChart1"/>
    <dgm:cxn modelId="{40E83260-144D-44BD-87DA-9C8282F843D5}" type="presOf" srcId="{10BC5880-A522-449D-988B-FFAC94D18A54}" destId="{F728C76C-A345-4F27-AC2D-92D50AFD06F0}" srcOrd="0" destOrd="0" presId="urn:microsoft.com/office/officeart/2005/8/layout/orgChart1"/>
    <dgm:cxn modelId="{B2F8D646-217F-43C3-9F1E-08E10411023C}" type="presOf" srcId="{A1E47707-D95F-40FE-AEDA-D677AB5C0479}" destId="{ED848850-39F7-4883-BC8C-2584F8FE687B}" srcOrd="0" destOrd="0" presId="urn:microsoft.com/office/officeart/2005/8/layout/orgChart1"/>
    <dgm:cxn modelId="{80079775-9550-4024-942F-C25CD90A44DD}" type="presOf" srcId="{25CD8F8D-3D4C-44D0-9FAD-AF140B1FF510}" destId="{8B375171-56A9-4C68-9848-6263655A9613}" srcOrd="1" destOrd="0" presId="urn:microsoft.com/office/officeart/2005/8/layout/orgChart1"/>
    <dgm:cxn modelId="{C1BAE47C-149F-4A1D-B8AC-8FD7E26E6B3F}" type="presOf" srcId="{50E69C96-E8FD-4E1A-90BE-E40AABA5F773}" destId="{A0B82F47-0A5C-4E80-A802-65C2A6CE6FA3}" srcOrd="0" destOrd="0" presId="urn:microsoft.com/office/officeart/2005/8/layout/orgChart1"/>
    <dgm:cxn modelId="{E3AFE897-369B-4135-8FB8-06BFEC742025}" srcId="{B7281BD2-CF12-467B-99C6-C701BFBB7F1D}" destId="{25CD8F8D-3D4C-44D0-9FAD-AF140B1FF510}" srcOrd="0" destOrd="0" parTransId="{A1E47707-D95F-40FE-AEDA-D677AB5C0479}" sibTransId="{1984A4EC-1DBD-41A3-A98B-30EDE56FFACF}"/>
    <dgm:cxn modelId="{AAD5F0B6-48A3-42E4-BB8B-6157873C6863}" type="presOf" srcId="{10BC5880-A522-449D-988B-FFAC94D18A54}" destId="{B73A5379-D104-4242-9C35-ED052556615B}" srcOrd="1" destOrd="0" presId="urn:microsoft.com/office/officeart/2005/8/layout/orgChart1"/>
    <dgm:cxn modelId="{0494E21A-AA7B-435E-A27C-1087903C4790}" type="presOf" srcId="{B7281BD2-CF12-467B-99C6-C701BFBB7F1D}" destId="{4DBB753F-27D1-4D33-889A-1B88E8CF21AA}" srcOrd="0" destOrd="0" presId="urn:microsoft.com/office/officeart/2005/8/layout/orgChart1"/>
    <dgm:cxn modelId="{E1255B10-E845-477F-9D21-53883CD89D1D}" type="presOf" srcId="{50E69C96-E8FD-4E1A-90BE-E40AABA5F773}" destId="{2E5E73BF-ACF8-4B6F-9B3D-608E47F2E322}" srcOrd="1" destOrd="0" presId="urn:microsoft.com/office/officeart/2005/8/layout/orgChart1"/>
    <dgm:cxn modelId="{930DB3E7-EF9E-4C3E-B9CB-DBB8F1884714}" srcId="{7A79E605-FF63-465E-A06B-561FE7CBB005}" destId="{B7281BD2-CF12-467B-99C6-C701BFBB7F1D}" srcOrd="0" destOrd="0" parTransId="{DD46044B-02AA-49EA-944E-E94DB553576F}" sibTransId="{960C3845-8ABD-49BB-BDF6-490BEE1F8801}"/>
    <dgm:cxn modelId="{5B203576-20F9-49EF-9E96-08AC1C853D6B}" srcId="{25CD8F8D-3D4C-44D0-9FAD-AF140B1FF510}" destId="{10BC5880-A522-449D-988B-FFAC94D18A54}" srcOrd="1" destOrd="0" parTransId="{AD93FD70-D990-4CF4-8A6E-629B2863388D}" sibTransId="{0D9B4610-D1AC-46A4-BD48-C8E71C732A1C}"/>
    <dgm:cxn modelId="{A585D4E2-8A05-452F-8D29-ACAE71EDF1E1}" type="presOf" srcId="{B7281BD2-CF12-467B-99C6-C701BFBB7F1D}" destId="{77529145-2173-49B4-8D54-778F0FB845CB}" srcOrd="1" destOrd="0" presId="urn:microsoft.com/office/officeart/2005/8/layout/orgChart1"/>
    <dgm:cxn modelId="{C8F98729-EAE2-483A-B2A0-DF1CAEE193A9}" type="presOf" srcId="{0111873A-1616-42EE-B10D-D6BD7A93AE08}" destId="{01866D01-3FD6-4132-B0E6-A7572C3739AE}" srcOrd="0" destOrd="0" presId="urn:microsoft.com/office/officeart/2005/8/layout/orgChart1"/>
    <dgm:cxn modelId="{21125931-D4AB-473C-B597-F3F2DBEDFB4F}" type="presOf" srcId="{FA0C90B6-73BE-48AE-B387-1F127051667C}" destId="{1DDBAEBD-B650-4827-949F-2767F21DF9E4}" srcOrd="0" destOrd="0" presId="urn:microsoft.com/office/officeart/2005/8/layout/orgChart1"/>
    <dgm:cxn modelId="{4AB1386B-65DE-4BFE-873E-14768DB6E520}" type="presOf" srcId="{AD93FD70-D990-4CF4-8A6E-629B2863388D}" destId="{7EB38BB8-8AB6-4EEB-9F0F-69503D4A8809}" srcOrd="0" destOrd="0" presId="urn:microsoft.com/office/officeart/2005/8/layout/orgChart1"/>
    <dgm:cxn modelId="{E3207E63-64A6-4CE6-8A23-D34951B00AB1}" type="presOf" srcId="{25CD8F8D-3D4C-44D0-9FAD-AF140B1FF510}" destId="{AAF10096-C3BB-4565-9AD1-A8018CBCB072}" srcOrd="0" destOrd="0" presId="urn:microsoft.com/office/officeart/2005/8/layout/orgChart1"/>
    <dgm:cxn modelId="{C271ED2F-4114-4D9E-9678-9D470C306244}" srcId="{B7281BD2-CF12-467B-99C6-C701BFBB7F1D}" destId="{50E69C96-E8FD-4E1A-90BE-E40AABA5F773}" srcOrd="1" destOrd="0" parTransId="{0111873A-1616-42EE-B10D-D6BD7A93AE08}" sibTransId="{072F3F22-384B-445C-8FB0-32A7F552D06C}"/>
    <dgm:cxn modelId="{741FB7C7-3577-4B80-86B4-43E44B61B4D9}" type="presOf" srcId="{DC981EBB-C544-48FB-BA45-5429210C6B61}" destId="{D91F689F-83E1-49B0-8E61-D6B7E3B82B6F}" srcOrd="1" destOrd="0" presId="urn:microsoft.com/office/officeart/2005/8/layout/orgChart1"/>
    <dgm:cxn modelId="{BB72B92D-1B6F-4FF0-B087-A5541927B258}" type="presOf" srcId="{7A79E605-FF63-465E-A06B-561FE7CBB005}" destId="{C105BE27-957E-40DB-8316-26A02E897677}" srcOrd="0" destOrd="0" presId="urn:microsoft.com/office/officeart/2005/8/layout/orgChart1"/>
    <dgm:cxn modelId="{780E33D5-6B51-4A18-8595-4AC39FD75A85}" type="presParOf" srcId="{C105BE27-957E-40DB-8316-26A02E897677}" destId="{656E226C-9A28-44F8-82FD-BF395F60719E}" srcOrd="0" destOrd="0" presId="urn:microsoft.com/office/officeart/2005/8/layout/orgChart1"/>
    <dgm:cxn modelId="{00C30DC4-4220-48E4-8D76-F9F975570C8F}" type="presParOf" srcId="{656E226C-9A28-44F8-82FD-BF395F60719E}" destId="{193B9383-AC49-4429-8DCA-7610E7ECB419}" srcOrd="0" destOrd="0" presId="urn:microsoft.com/office/officeart/2005/8/layout/orgChart1"/>
    <dgm:cxn modelId="{5D8C33AC-E896-48FD-B0B2-9EC170678BC0}" type="presParOf" srcId="{193B9383-AC49-4429-8DCA-7610E7ECB419}" destId="{4DBB753F-27D1-4D33-889A-1B88E8CF21AA}" srcOrd="0" destOrd="0" presId="urn:microsoft.com/office/officeart/2005/8/layout/orgChart1"/>
    <dgm:cxn modelId="{A83D24D5-CBFB-44DA-BEDF-93168C30B697}" type="presParOf" srcId="{193B9383-AC49-4429-8DCA-7610E7ECB419}" destId="{77529145-2173-49B4-8D54-778F0FB845CB}" srcOrd="1" destOrd="0" presId="urn:microsoft.com/office/officeart/2005/8/layout/orgChart1"/>
    <dgm:cxn modelId="{BC6E9D3D-FE84-4166-8889-9E8F33ECFF10}" type="presParOf" srcId="{656E226C-9A28-44F8-82FD-BF395F60719E}" destId="{B0EE3779-DAD7-416D-B74D-EF5614C24180}" srcOrd="1" destOrd="0" presId="urn:microsoft.com/office/officeart/2005/8/layout/orgChart1"/>
    <dgm:cxn modelId="{106FEB9D-E896-4203-8FFB-0C41C9B7A9D8}" type="presParOf" srcId="{B0EE3779-DAD7-416D-B74D-EF5614C24180}" destId="{ED848850-39F7-4883-BC8C-2584F8FE687B}" srcOrd="0" destOrd="0" presId="urn:microsoft.com/office/officeart/2005/8/layout/orgChart1"/>
    <dgm:cxn modelId="{DF63A8F8-9D4D-4CB9-A4C8-499D274BE34B}" type="presParOf" srcId="{B0EE3779-DAD7-416D-B74D-EF5614C24180}" destId="{41973A3B-FA32-4FCF-AC2C-C3C7C36BEEEE}" srcOrd="1" destOrd="0" presId="urn:microsoft.com/office/officeart/2005/8/layout/orgChart1"/>
    <dgm:cxn modelId="{37A108C6-9922-436B-AEB8-8793805531E3}" type="presParOf" srcId="{41973A3B-FA32-4FCF-AC2C-C3C7C36BEEEE}" destId="{9037E533-8B08-44F2-9BFF-35BBCDF963BF}" srcOrd="0" destOrd="0" presId="urn:microsoft.com/office/officeart/2005/8/layout/orgChart1"/>
    <dgm:cxn modelId="{1CA61C9A-80C0-446A-88A3-24B939743BF1}" type="presParOf" srcId="{9037E533-8B08-44F2-9BFF-35BBCDF963BF}" destId="{AAF10096-C3BB-4565-9AD1-A8018CBCB072}" srcOrd="0" destOrd="0" presId="urn:microsoft.com/office/officeart/2005/8/layout/orgChart1"/>
    <dgm:cxn modelId="{3E06E8A4-5560-4118-AC98-5762F0150004}" type="presParOf" srcId="{9037E533-8B08-44F2-9BFF-35BBCDF963BF}" destId="{8B375171-56A9-4C68-9848-6263655A9613}" srcOrd="1" destOrd="0" presId="urn:microsoft.com/office/officeart/2005/8/layout/orgChart1"/>
    <dgm:cxn modelId="{1B9A7057-CCD7-46F7-B442-FCB4252948A2}" type="presParOf" srcId="{41973A3B-FA32-4FCF-AC2C-C3C7C36BEEEE}" destId="{72B16CEF-2AC7-45CC-83AA-CF0ABBA4545F}" srcOrd="1" destOrd="0" presId="urn:microsoft.com/office/officeart/2005/8/layout/orgChart1"/>
    <dgm:cxn modelId="{7C6226D7-E762-4721-BF6B-45248A1900DA}" type="presParOf" srcId="{72B16CEF-2AC7-45CC-83AA-CF0ABBA4545F}" destId="{1DDBAEBD-B650-4827-949F-2767F21DF9E4}" srcOrd="0" destOrd="0" presId="urn:microsoft.com/office/officeart/2005/8/layout/orgChart1"/>
    <dgm:cxn modelId="{BCF26A2B-A498-4CD4-90C4-BE5A4C8B3ECA}" type="presParOf" srcId="{72B16CEF-2AC7-45CC-83AA-CF0ABBA4545F}" destId="{F667DE8F-EC83-4441-851F-08F3B206F205}" srcOrd="1" destOrd="0" presId="urn:microsoft.com/office/officeart/2005/8/layout/orgChart1"/>
    <dgm:cxn modelId="{732E7826-91F4-4921-AF59-73726B70406B}" type="presParOf" srcId="{F667DE8F-EC83-4441-851F-08F3B206F205}" destId="{A6676ADA-3D65-4C16-8D51-294CAE77BF07}" srcOrd="0" destOrd="0" presId="urn:microsoft.com/office/officeart/2005/8/layout/orgChart1"/>
    <dgm:cxn modelId="{F4703E67-8F90-4449-96C2-9B38F143C3DD}" type="presParOf" srcId="{A6676ADA-3D65-4C16-8D51-294CAE77BF07}" destId="{EB51EE66-6BCA-4857-A767-97640A6F21B9}" srcOrd="0" destOrd="0" presId="urn:microsoft.com/office/officeart/2005/8/layout/orgChart1"/>
    <dgm:cxn modelId="{0FA75A41-1FB2-4A84-9678-C5B5AE4221BC}" type="presParOf" srcId="{A6676ADA-3D65-4C16-8D51-294CAE77BF07}" destId="{D91F689F-83E1-49B0-8E61-D6B7E3B82B6F}" srcOrd="1" destOrd="0" presId="urn:microsoft.com/office/officeart/2005/8/layout/orgChart1"/>
    <dgm:cxn modelId="{D6A6B888-F24D-4316-94C9-C92C949542D2}" type="presParOf" srcId="{F667DE8F-EC83-4441-851F-08F3B206F205}" destId="{5865A04A-B75A-4E84-B141-0E19C9E73080}" srcOrd="1" destOrd="0" presId="urn:microsoft.com/office/officeart/2005/8/layout/orgChart1"/>
    <dgm:cxn modelId="{5B0BCE55-64F5-42E7-A880-3E011135F3E9}" type="presParOf" srcId="{F667DE8F-EC83-4441-851F-08F3B206F205}" destId="{9055D437-5CF3-43B9-B77E-E22E107D7A4B}" srcOrd="2" destOrd="0" presId="urn:microsoft.com/office/officeart/2005/8/layout/orgChart1"/>
    <dgm:cxn modelId="{721236CE-1E23-4F6B-A02D-429752BF0E67}" type="presParOf" srcId="{72B16CEF-2AC7-45CC-83AA-CF0ABBA4545F}" destId="{7EB38BB8-8AB6-4EEB-9F0F-69503D4A8809}" srcOrd="2" destOrd="0" presId="urn:microsoft.com/office/officeart/2005/8/layout/orgChart1"/>
    <dgm:cxn modelId="{F112970B-0EC4-4436-9A71-AA3062B25DAD}" type="presParOf" srcId="{72B16CEF-2AC7-45CC-83AA-CF0ABBA4545F}" destId="{267D781B-F3DD-4A30-8A3E-FAB995285C60}" srcOrd="3" destOrd="0" presId="urn:microsoft.com/office/officeart/2005/8/layout/orgChart1"/>
    <dgm:cxn modelId="{F1EF06CA-C0D1-4DD2-806A-52543B148374}" type="presParOf" srcId="{267D781B-F3DD-4A30-8A3E-FAB995285C60}" destId="{EED23DEF-8B2A-4D80-ADD6-1D199F9291E6}" srcOrd="0" destOrd="0" presId="urn:microsoft.com/office/officeart/2005/8/layout/orgChart1"/>
    <dgm:cxn modelId="{963D50EC-3FC2-4A58-9447-CD148547A889}" type="presParOf" srcId="{EED23DEF-8B2A-4D80-ADD6-1D199F9291E6}" destId="{F728C76C-A345-4F27-AC2D-92D50AFD06F0}" srcOrd="0" destOrd="0" presId="urn:microsoft.com/office/officeart/2005/8/layout/orgChart1"/>
    <dgm:cxn modelId="{4D98A7DE-2F56-48C4-AA47-9DFEB5AA33F9}" type="presParOf" srcId="{EED23DEF-8B2A-4D80-ADD6-1D199F9291E6}" destId="{B73A5379-D104-4242-9C35-ED052556615B}" srcOrd="1" destOrd="0" presId="urn:microsoft.com/office/officeart/2005/8/layout/orgChart1"/>
    <dgm:cxn modelId="{DA6F2435-5AA8-4DE0-96EA-6D1A0CB258C1}" type="presParOf" srcId="{267D781B-F3DD-4A30-8A3E-FAB995285C60}" destId="{1836CC70-A978-4B55-A979-857486D34F3C}" srcOrd="1" destOrd="0" presId="urn:microsoft.com/office/officeart/2005/8/layout/orgChart1"/>
    <dgm:cxn modelId="{11C74E97-1874-49A9-8D2E-E3F78F8717C8}" type="presParOf" srcId="{267D781B-F3DD-4A30-8A3E-FAB995285C60}" destId="{25C81834-6354-4917-9115-8891D702B91B}" srcOrd="2" destOrd="0" presId="urn:microsoft.com/office/officeart/2005/8/layout/orgChart1"/>
    <dgm:cxn modelId="{AD3A798F-4E61-4619-921B-66C56286A0C3}" type="presParOf" srcId="{41973A3B-FA32-4FCF-AC2C-C3C7C36BEEEE}" destId="{DC70A4AA-6E8F-4218-9CE8-B418DE30E74C}" srcOrd="2" destOrd="0" presId="urn:microsoft.com/office/officeart/2005/8/layout/orgChart1"/>
    <dgm:cxn modelId="{523F9F4B-F640-4E14-AFE3-BF82086CD1ED}" type="presParOf" srcId="{B0EE3779-DAD7-416D-B74D-EF5614C24180}" destId="{01866D01-3FD6-4132-B0E6-A7572C3739AE}" srcOrd="2" destOrd="0" presId="urn:microsoft.com/office/officeart/2005/8/layout/orgChart1"/>
    <dgm:cxn modelId="{2EA650B4-C0B2-43CF-84B3-3DCD12364F82}" type="presParOf" srcId="{B0EE3779-DAD7-416D-B74D-EF5614C24180}" destId="{74ADA4DE-7691-4FBD-B585-D15A026EF6B0}" srcOrd="3" destOrd="0" presId="urn:microsoft.com/office/officeart/2005/8/layout/orgChart1"/>
    <dgm:cxn modelId="{BE061A8B-4AB5-4EE8-AE3F-16C16067A722}" type="presParOf" srcId="{74ADA4DE-7691-4FBD-B585-D15A026EF6B0}" destId="{738715D0-2220-4E2D-A609-000C6C32294C}" srcOrd="0" destOrd="0" presId="urn:microsoft.com/office/officeart/2005/8/layout/orgChart1"/>
    <dgm:cxn modelId="{330881E6-AD21-4BF0-960F-5D1BC0468332}" type="presParOf" srcId="{738715D0-2220-4E2D-A609-000C6C32294C}" destId="{A0B82F47-0A5C-4E80-A802-65C2A6CE6FA3}" srcOrd="0" destOrd="0" presId="urn:microsoft.com/office/officeart/2005/8/layout/orgChart1"/>
    <dgm:cxn modelId="{404397C7-8681-4219-9F43-489B2330EB2E}" type="presParOf" srcId="{738715D0-2220-4E2D-A609-000C6C32294C}" destId="{2E5E73BF-ACF8-4B6F-9B3D-608E47F2E322}" srcOrd="1" destOrd="0" presId="urn:microsoft.com/office/officeart/2005/8/layout/orgChart1"/>
    <dgm:cxn modelId="{AB77DEB3-6583-4612-8442-A5D484CDD117}" type="presParOf" srcId="{74ADA4DE-7691-4FBD-B585-D15A026EF6B0}" destId="{0084F99F-34AE-483A-BE64-9A8337F9DBF5}" srcOrd="1" destOrd="0" presId="urn:microsoft.com/office/officeart/2005/8/layout/orgChart1"/>
    <dgm:cxn modelId="{BD7D7244-1F54-4332-AA5E-A2711AF89375}" type="presParOf" srcId="{74ADA4DE-7691-4FBD-B585-D15A026EF6B0}" destId="{C0E339E3-E1A1-4AFD-B86B-669774FEE3A8}" srcOrd="2" destOrd="0" presId="urn:microsoft.com/office/officeart/2005/8/layout/orgChart1"/>
    <dgm:cxn modelId="{C7A7AB7F-BA15-41A5-BFE2-F1CB348273E2}" type="presParOf" srcId="{656E226C-9A28-44F8-82FD-BF395F60719E}" destId="{0CBA9B5D-59E2-4307-800C-42BF4AA9C451}"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866D01-3FD6-4132-B0E6-A7572C3739AE}">
      <dsp:nvSpPr>
        <dsp:cNvPr id="0" name=""/>
        <dsp:cNvSpPr/>
      </dsp:nvSpPr>
      <dsp:spPr>
        <a:xfrm>
          <a:off x="2806200" y="643270"/>
          <a:ext cx="777168" cy="269761"/>
        </a:xfrm>
        <a:custGeom>
          <a:avLst/>
          <a:gdLst/>
          <a:ahLst/>
          <a:cxnLst/>
          <a:rect l="0" t="0" r="0" b="0"/>
          <a:pathLst>
            <a:path>
              <a:moveTo>
                <a:pt x="0" y="0"/>
              </a:moveTo>
              <a:lnTo>
                <a:pt x="0" y="134880"/>
              </a:lnTo>
              <a:lnTo>
                <a:pt x="777168" y="134880"/>
              </a:lnTo>
              <a:lnTo>
                <a:pt x="777168" y="269761"/>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B38BB8-8AB6-4EEB-9F0F-69503D4A8809}">
      <dsp:nvSpPr>
        <dsp:cNvPr id="0" name=""/>
        <dsp:cNvSpPr/>
      </dsp:nvSpPr>
      <dsp:spPr>
        <a:xfrm>
          <a:off x="1515200" y="1555319"/>
          <a:ext cx="192686" cy="1502954"/>
        </a:xfrm>
        <a:custGeom>
          <a:avLst/>
          <a:gdLst/>
          <a:ahLst/>
          <a:cxnLst/>
          <a:rect l="0" t="0" r="0" b="0"/>
          <a:pathLst>
            <a:path>
              <a:moveTo>
                <a:pt x="0" y="0"/>
              </a:moveTo>
              <a:lnTo>
                <a:pt x="0" y="1502954"/>
              </a:lnTo>
              <a:lnTo>
                <a:pt x="192686" y="1502954"/>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DDBAEBD-B650-4827-949F-2767F21DF9E4}">
      <dsp:nvSpPr>
        <dsp:cNvPr id="0" name=""/>
        <dsp:cNvSpPr/>
      </dsp:nvSpPr>
      <dsp:spPr>
        <a:xfrm>
          <a:off x="1515200" y="1555319"/>
          <a:ext cx="192686" cy="590905"/>
        </a:xfrm>
        <a:custGeom>
          <a:avLst/>
          <a:gdLst/>
          <a:ahLst/>
          <a:cxnLst/>
          <a:rect l="0" t="0" r="0" b="0"/>
          <a:pathLst>
            <a:path>
              <a:moveTo>
                <a:pt x="0" y="0"/>
              </a:moveTo>
              <a:lnTo>
                <a:pt x="0" y="590905"/>
              </a:lnTo>
              <a:lnTo>
                <a:pt x="192686" y="590905"/>
              </a:lnTo>
            </a:path>
          </a:pathLst>
        </a:custGeom>
        <a:noFill/>
        <a:ln w="12700" cap="flat" cmpd="sng" algn="ctr">
          <a:solidFill>
            <a:srgbClr val="A5A5A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848850-39F7-4883-BC8C-2584F8FE687B}">
      <dsp:nvSpPr>
        <dsp:cNvPr id="0" name=""/>
        <dsp:cNvSpPr/>
      </dsp:nvSpPr>
      <dsp:spPr>
        <a:xfrm>
          <a:off x="2029031" y="643270"/>
          <a:ext cx="777168" cy="269761"/>
        </a:xfrm>
        <a:custGeom>
          <a:avLst/>
          <a:gdLst/>
          <a:ahLst/>
          <a:cxnLst/>
          <a:rect l="0" t="0" r="0" b="0"/>
          <a:pathLst>
            <a:path>
              <a:moveTo>
                <a:pt x="777168" y="0"/>
              </a:moveTo>
              <a:lnTo>
                <a:pt x="777168" y="134880"/>
              </a:lnTo>
              <a:lnTo>
                <a:pt x="0" y="134880"/>
              </a:lnTo>
              <a:lnTo>
                <a:pt x="0" y="269761"/>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BB753F-27D1-4D33-889A-1B88E8CF21AA}">
      <dsp:nvSpPr>
        <dsp:cNvPr id="0" name=""/>
        <dsp:cNvSpPr/>
      </dsp:nvSpPr>
      <dsp:spPr>
        <a:xfrm>
          <a:off x="2163911" y="982"/>
          <a:ext cx="1284576" cy="642288"/>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kern="1200" dirty="0" smtClean="0">
              <a:solidFill>
                <a:sysClr val="window" lastClr="FFFFFF"/>
              </a:solidFill>
              <a:latin typeface="Calibri"/>
              <a:ea typeface="+mn-ea"/>
              <a:cs typeface="+mn-cs"/>
            </a:rPr>
            <a:t>Consejo de Seguridad. </a:t>
          </a:r>
          <a:endParaRPr lang="en-US" sz="1200" kern="1200" dirty="0">
            <a:solidFill>
              <a:sysClr val="window" lastClr="FFFFFF"/>
            </a:solidFill>
            <a:latin typeface="Calibri"/>
            <a:ea typeface="+mn-ea"/>
            <a:cs typeface="+mn-cs"/>
          </a:endParaRPr>
        </a:p>
      </dsp:txBody>
      <dsp:txXfrm>
        <a:off x="2163911" y="982"/>
        <a:ext cx="1284576" cy="642288"/>
      </dsp:txXfrm>
    </dsp:sp>
    <dsp:sp modelId="{AAF10096-C3BB-4565-9AD1-A8018CBCB072}">
      <dsp:nvSpPr>
        <dsp:cNvPr id="0" name=""/>
        <dsp:cNvSpPr/>
      </dsp:nvSpPr>
      <dsp:spPr>
        <a:xfrm>
          <a:off x="1386743" y="913031"/>
          <a:ext cx="1284576" cy="642288"/>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kern="1200" dirty="0" smtClean="0">
              <a:solidFill>
                <a:sysClr val="window" lastClr="FFFFFF"/>
              </a:solidFill>
              <a:latin typeface="Calibri"/>
              <a:ea typeface="+mn-ea"/>
              <a:cs typeface="+mn-cs"/>
            </a:rPr>
            <a:t>Junta de Acción comunal</a:t>
          </a:r>
          <a:endParaRPr lang="en-US" sz="1200" kern="1200" dirty="0">
            <a:solidFill>
              <a:sysClr val="window" lastClr="FFFFFF"/>
            </a:solidFill>
            <a:latin typeface="Calibri"/>
            <a:ea typeface="+mn-ea"/>
            <a:cs typeface="+mn-cs"/>
          </a:endParaRPr>
        </a:p>
      </dsp:txBody>
      <dsp:txXfrm>
        <a:off x="1386743" y="913031"/>
        <a:ext cx="1284576" cy="642288"/>
      </dsp:txXfrm>
    </dsp:sp>
    <dsp:sp modelId="{EB51EE66-6BCA-4857-A767-97640A6F21B9}">
      <dsp:nvSpPr>
        <dsp:cNvPr id="0" name=""/>
        <dsp:cNvSpPr/>
      </dsp:nvSpPr>
      <dsp:spPr>
        <a:xfrm>
          <a:off x="1707887" y="1825080"/>
          <a:ext cx="1284576" cy="642288"/>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kern="1200" dirty="0" smtClean="0">
              <a:solidFill>
                <a:sysClr val="window" lastClr="FFFFFF"/>
              </a:solidFill>
              <a:latin typeface="Calibri"/>
              <a:ea typeface="+mn-ea"/>
              <a:cs typeface="+mn-cs"/>
            </a:rPr>
            <a:t>comité de conciliación e la JAC</a:t>
          </a:r>
          <a:endParaRPr lang="en-US" sz="1200" kern="1200" dirty="0">
            <a:solidFill>
              <a:sysClr val="window" lastClr="FFFFFF"/>
            </a:solidFill>
            <a:latin typeface="Calibri"/>
            <a:ea typeface="+mn-ea"/>
            <a:cs typeface="+mn-cs"/>
          </a:endParaRPr>
        </a:p>
      </dsp:txBody>
      <dsp:txXfrm>
        <a:off x="1707887" y="1825080"/>
        <a:ext cx="1284576" cy="642288"/>
      </dsp:txXfrm>
    </dsp:sp>
    <dsp:sp modelId="{F728C76C-A345-4F27-AC2D-92D50AFD06F0}">
      <dsp:nvSpPr>
        <dsp:cNvPr id="0" name=""/>
        <dsp:cNvSpPr/>
      </dsp:nvSpPr>
      <dsp:spPr>
        <a:xfrm>
          <a:off x="1707887" y="2737129"/>
          <a:ext cx="1284576" cy="642288"/>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dirty="0">
              <a:solidFill>
                <a:sysClr val="window" lastClr="FFFFFF"/>
              </a:solidFill>
              <a:latin typeface="Calibri"/>
              <a:ea typeface="+mn-ea"/>
              <a:cs typeface="+mn-cs"/>
            </a:rPr>
            <a:t>Problemas entre vicinos </a:t>
          </a:r>
        </a:p>
      </dsp:txBody>
      <dsp:txXfrm>
        <a:off x="1707887" y="2737129"/>
        <a:ext cx="1284576" cy="642288"/>
      </dsp:txXfrm>
    </dsp:sp>
    <dsp:sp modelId="{A0B82F47-0A5C-4E80-A802-65C2A6CE6FA3}">
      <dsp:nvSpPr>
        <dsp:cNvPr id="0" name=""/>
        <dsp:cNvSpPr/>
      </dsp:nvSpPr>
      <dsp:spPr>
        <a:xfrm>
          <a:off x="2941080" y="913031"/>
          <a:ext cx="1284576" cy="642288"/>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kern="1200" dirty="0" smtClean="0">
              <a:solidFill>
                <a:sysClr val="window" lastClr="FFFFFF"/>
              </a:solidFill>
              <a:latin typeface="Calibri"/>
              <a:ea typeface="+mn-ea"/>
              <a:cs typeface="+mn-cs"/>
            </a:rPr>
            <a:t>Núcleo de Juntas</a:t>
          </a:r>
          <a:endParaRPr lang="en-US" sz="1200" kern="1200" dirty="0">
            <a:solidFill>
              <a:sysClr val="window" lastClr="FFFFFF"/>
            </a:solidFill>
            <a:latin typeface="Calibri"/>
            <a:ea typeface="+mn-ea"/>
            <a:cs typeface="+mn-cs"/>
          </a:endParaRPr>
        </a:p>
      </dsp:txBody>
      <dsp:txXfrm>
        <a:off x="2941080" y="913031"/>
        <a:ext cx="1284576" cy="6422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CBD26-9D2C-417E-8AE0-C9D0C08FE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6043</Words>
  <Characters>33240</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ARIEL</dc:creator>
  <cp:lastModifiedBy>Luffi</cp:lastModifiedBy>
  <cp:revision>2</cp:revision>
  <dcterms:created xsi:type="dcterms:W3CDTF">2015-02-23T15:49:00Z</dcterms:created>
  <dcterms:modified xsi:type="dcterms:W3CDTF">2015-02-23T15:49:00Z</dcterms:modified>
</cp:coreProperties>
</file>